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0A3F0" w14:textId="77777777" w:rsidR="004D575E" w:rsidRPr="00EE62A5" w:rsidRDefault="008632F2" w:rsidP="00EA15D0">
      <w:pPr>
        <w:pStyle w:val="FrontCover-SubHeading"/>
        <w:rPr>
          <w:b/>
          <w:i/>
          <w:sz w:val="72"/>
        </w:rPr>
      </w:pPr>
      <w:r w:rsidRPr="00EE62A5">
        <w:rPr>
          <w:b/>
          <w:i/>
          <w:sz w:val="72"/>
        </w:rPr>
        <w:t xml:space="preserve">Construction Sector Employment in </w:t>
      </w:r>
      <w:r w:rsidR="00EE62A5">
        <w:rPr>
          <w:b/>
          <w:i/>
          <w:sz w:val="72"/>
        </w:rPr>
        <w:t>Low Income Countries</w:t>
      </w:r>
      <w:r w:rsidR="00350562">
        <w:rPr>
          <w:b/>
          <w:i/>
          <w:sz w:val="72"/>
        </w:rPr>
        <w:t xml:space="preserve"> </w:t>
      </w:r>
    </w:p>
    <w:p w14:paraId="6AEE240C" w14:textId="77777777" w:rsidR="00F42AB2" w:rsidRDefault="00F42AB2" w:rsidP="004D575E"/>
    <w:p w14:paraId="14A45156" w14:textId="77777777" w:rsidR="008931C4" w:rsidRDefault="008931C4" w:rsidP="004D575E"/>
    <w:p w14:paraId="7ED10B82" w14:textId="77777777" w:rsidR="008931C4" w:rsidRDefault="008931C4" w:rsidP="004D575E"/>
    <w:p w14:paraId="34B36E11" w14:textId="77777777" w:rsidR="008931C4" w:rsidRDefault="008931C4" w:rsidP="004D575E"/>
    <w:p w14:paraId="6292551F" w14:textId="77777777" w:rsidR="008931C4" w:rsidRDefault="008931C4" w:rsidP="004D575E"/>
    <w:p w14:paraId="22D86306" w14:textId="77777777" w:rsidR="008931C4" w:rsidRDefault="008931C4" w:rsidP="004D575E"/>
    <w:p w14:paraId="625BB212" w14:textId="77777777" w:rsidR="008931C4" w:rsidRPr="00F42AB2" w:rsidRDefault="008931C4" w:rsidP="004D575E"/>
    <w:p w14:paraId="72CB5505" w14:textId="614FF4B8" w:rsidR="004D575E" w:rsidRPr="00F42AB2" w:rsidRDefault="007E6A65" w:rsidP="00782491">
      <w:pPr>
        <w:sectPr w:rsidR="004D575E" w:rsidRPr="00F42AB2" w:rsidSect="004D575E">
          <w:headerReference w:type="default" r:id="rId11"/>
          <w:footerReference w:type="default" r:id="rId12"/>
          <w:type w:val="continuous"/>
          <w:pgSz w:w="11907" w:h="16840" w:code="32767"/>
          <w:pgMar w:top="7655" w:right="567" w:bottom="1418" w:left="958" w:header="720" w:footer="720" w:gutter="0"/>
          <w:cols w:space="720"/>
          <w:noEndnote/>
        </w:sectPr>
      </w:pPr>
      <w:r>
        <w:rPr>
          <w:noProof/>
          <w:lang w:eastAsia="en-GB"/>
        </w:rPr>
        <mc:AlternateContent>
          <mc:Choice Requires="wps">
            <w:drawing>
              <wp:inline distT="0" distB="0" distL="0" distR="0" wp14:anchorId="16C2010E" wp14:editId="0C1A2025">
                <wp:extent cx="5868670" cy="1767840"/>
                <wp:effectExtent l="0" t="0" r="0" b="0"/>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867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B79C9" w14:textId="77777777" w:rsidR="006A62B6" w:rsidRPr="00427DB0" w:rsidRDefault="006A62B6" w:rsidP="00F42AB2">
                            <w:pPr>
                              <w:pStyle w:val="FrontCover-InformationTitles"/>
                            </w:pPr>
                            <w:r w:rsidRPr="00427DB0">
                              <w:t>Produced for:</w:t>
                            </w:r>
                            <w:r w:rsidRPr="00F42AB2">
                              <w:rPr>
                                <w:b w:val="0"/>
                              </w:rPr>
                              <w:t xml:space="preserve"> ICED and DFID</w:t>
                            </w:r>
                          </w:p>
                          <w:p w14:paraId="338BF9B3" w14:textId="415222CC" w:rsidR="006A62B6" w:rsidRPr="00427DB0" w:rsidRDefault="006A62B6" w:rsidP="00F42AB2">
                            <w:pPr>
                              <w:pStyle w:val="FrontCover-InformationBodyText"/>
                            </w:pPr>
                            <w:r>
                              <w:t>5 January, 2018</w:t>
                            </w:r>
                          </w:p>
                          <w:p w14:paraId="1BF70E2A" w14:textId="20E1071D" w:rsidR="006A62B6" w:rsidRPr="00427DB0" w:rsidRDefault="006A62B6" w:rsidP="00F42AB2">
                            <w:pPr>
                              <w:pStyle w:val="FrontCover-InformationBodyText"/>
                            </w:pPr>
                            <w:r>
                              <w:t>Final Draft Version 2</w:t>
                            </w:r>
                          </w:p>
                          <w:p w14:paraId="6FE71555" w14:textId="77777777" w:rsidR="006A62B6" w:rsidRPr="001D0CB0" w:rsidRDefault="006A62B6" w:rsidP="001D0CB0">
                            <w:pPr>
                              <w:pStyle w:val="FrontCover-InformationBodyText"/>
                            </w:pPr>
                          </w:p>
                          <w:p w14:paraId="0F2A40F0" w14:textId="77777777" w:rsidR="006A62B6" w:rsidRPr="00427DB0" w:rsidRDefault="006A62B6" w:rsidP="00F42AB2">
                            <w:pPr>
                              <w:pStyle w:val="FrontCover-InformationBodyText"/>
                            </w:pPr>
                            <w:r w:rsidRPr="00427DB0">
                              <w:rPr>
                                <w:b/>
                              </w:rPr>
                              <w:t>Authors:</w:t>
                            </w:r>
                            <w:r w:rsidRPr="00427DB0">
                              <w:t xml:space="preserve"> </w:t>
                            </w:r>
                            <w:r>
                              <w:t xml:space="preserve">Andrés </w:t>
                            </w:r>
                            <w:proofErr w:type="spellStart"/>
                            <w:r>
                              <w:t>Mella</w:t>
                            </w:r>
                            <w:proofErr w:type="spellEnd"/>
                            <w:r>
                              <w:t>, Matthew Savage</w:t>
                            </w:r>
                          </w:p>
                          <w:p w14:paraId="6309EFC2" w14:textId="77777777" w:rsidR="006A62B6" w:rsidRPr="00427DB0" w:rsidRDefault="006A62B6" w:rsidP="001D0CB0">
                            <w:pPr>
                              <w:pStyle w:val="FrontCover-InformationBodyText"/>
                            </w:pPr>
                          </w:p>
                          <w:p w14:paraId="0F3FC4A4" w14:textId="77777777" w:rsidR="006A62B6" w:rsidRPr="00427DB0" w:rsidRDefault="006A62B6" w:rsidP="001D0CB0">
                            <w:pPr>
                              <w:pStyle w:val="FrontCover-InformationBodyText"/>
                            </w:pPr>
                          </w:p>
                          <w:p w14:paraId="1C676EEB" w14:textId="77777777" w:rsidR="006A62B6" w:rsidRPr="00427DB0" w:rsidRDefault="006A62B6" w:rsidP="004D575E">
                            <w:pPr>
                              <w:pStyle w:val="BasicParagraph"/>
                              <w:spacing w:line="160" w:lineRule="exact"/>
                              <w:rPr>
                                <w:rFonts w:cs="Calibri"/>
                                <w:color w:val="auto"/>
                                <w:sz w:val="24"/>
                                <w:szCs w:val="24"/>
                              </w:rPr>
                            </w:pPr>
                          </w:p>
                        </w:txbxContent>
                      </wps:txbx>
                      <wps:bodyPr rot="0" vert="horz" wrap="square" lIns="0" tIns="0" rIns="0" bIns="0" anchor="t" anchorCtr="0" upright="1">
                        <a:noAutofit/>
                      </wps:bodyPr>
                    </wps:wsp>
                  </a:graphicData>
                </a:graphic>
              </wp:inline>
            </w:drawing>
          </mc:Choice>
          <mc:Fallback>
            <w:pict>
              <v:shapetype w14:anchorId="16C2010E" id="_x0000_t202" coordsize="21600,21600" o:spt="202" path="m,l,21600r21600,l21600,xe">
                <v:stroke joinstyle="miter"/>
                <v:path gradientshapeok="t" o:connecttype="rect"/>
              </v:shapetype>
              <v:shape id="Text Box 26" o:spid="_x0000_s1026" type="#_x0000_t202" style="width:462.1pt;height:1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" filled="f" stroked="f">
                <v:path arrowok="t"/>
                <v:textbox inset="0,0,0,0">
                  <w:txbxContent>
                    <w:p w14:paraId="5D4B79C9" w14:textId="77777777" w:rsidR="006A62B6" w:rsidRPr="00427DB0" w:rsidRDefault="006A62B6" w:rsidP="00F42AB2">
                      <w:pPr>
                        <w:pStyle w:val="FrontCover-InformationTitles"/>
                      </w:pPr>
                      <w:r w:rsidRPr="00427DB0">
                        <w:t>Produced for:</w:t>
                      </w:r>
                      <w:r w:rsidRPr="00F42AB2">
                        <w:rPr>
                          <w:b w:val="0"/>
                        </w:rPr>
                        <w:t xml:space="preserve"> ICED and DFID</w:t>
                      </w:r>
                    </w:p>
                    <w:p w14:paraId="338BF9B3" w14:textId="415222CC" w:rsidR="006A62B6" w:rsidRPr="00427DB0" w:rsidRDefault="006A62B6" w:rsidP="00F42AB2">
                      <w:pPr>
                        <w:pStyle w:val="FrontCover-InformationBodyText"/>
                      </w:pPr>
                      <w:r>
                        <w:t>5 January, 2018</w:t>
                      </w:r>
                    </w:p>
                    <w:p w14:paraId="1BF70E2A" w14:textId="20E1071D" w:rsidR="006A62B6" w:rsidRPr="00427DB0" w:rsidRDefault="006A62B6" w:rsidP="00F42AB2">
                      <w:pPr>
                        <w:pStyle w:val="FrontCover-InformationBodyText"/>
                      </w:pPr>
                      <w:r>
                        <w:t>Final Draft Version 2</w:t>
                      </w:r>
                    </w:p>
                    <w:p w14:paraId="6FE71555" w14:textId="77777777" w:rsidR="006A62B6" w:rsidRPr="001D0CB0" w:rsidRDefault="006A62B6" w:rsidP="001D0CB0">
                      <w:pPr>
                        <w:pStyle w:val="FrontCover-InformationBodyText"/>
                      </w:pPr>
                    </w:p>
                    <w:p w14:paraId="0F2A40F0" w14:textId="77777777" w:rsidR="006A62B6" w:rsidRPr="00427DB0" w:rsidRDefault="006A62B6" w:rsidP="00F42AB2">
                      <w:pPr>
                        <w:pStyle w:val="FrontCover-InformationBodyText"/>
                      </w:pPr>
                      <w:r w:rsidRPr="00427DB0">
                        <w:rPr>
                          <w:b/>
                        </w:rPr>
                        <w:t>Authors:</w:t>
                      </w:r>
                      <w:r w:rsidRPr="00427DB0">
                        <w:t xml:space="preserve"> </w:t>
                      </w:r>
                      <w:r>
                        <w:t xml:space="preserve">Andrés </w:t>
                      </w:r>
                      <w:proofErr w:type="spellStart"/>
                      <w:r>
                        <w:t>Mella</w:t>
                      </w:r>
                      <w:proofErr w:type="spellEnd"/>
                      <w:r>
                        <w:t>, Matthew Savage</w:t>
                      </w:r>
                    </w:p>
                    <w:p w14:paraId="6309EFC2" w14:textId="77777777" w:rsidR="006A62B6" w:rsidRPr="00427DB0" w:rsidRDefault="006A62B6" w:rsidP="001D0CB0">
                      <w:pPr>
                        <w:pStyle w:val="FrontCover-InformationBodyText"/>
                      </w:pPr>
                    </w:p>
                    <w:p w14:paraId="0F3FC4A4" w14:textId="77777777" w:rsidR="006A62B6" w:rsidRPr="00427DB0" w:rsidRDefault="006A62B6" w:rsidP="001D0CB0">
                      <w:pPr>
                        <w:pStyle w:val="FrontCover-InformationBodyText"/>
                      </w:pPr>
                    </w:p>
                    <w:p w14:paraId="1C676EEB" w14:textId="77777777" w:rsidR="006A62B6" w:rsidRPr="00427DB0" w:rsidRDefault="006A62B6" w:rsidP="004D575E">
                      <w:pPr>
                        <w:pStyle w:val="BasicParagraph"/>
                        <w:spacing w:line="160" w:lineRule="exact"/>
                        <w:rPr>
                          <w:rFonts w:cs="Calibri"/>
                          <w:color w:val="auto"/>
                          <w:sz w:val="24"/>
                          <w:szCs w:val="24"/>
                        </w:rPr>
                      </w:pPr>
                    </w:p>
                  </w:txbxContent>
                </v:textbox>
                <w10:anchorlock/>
              </v:shape>
            </w:pict>
          </mc:Fallback>
        </mc:AlternateContent>
      </w:r>
    </w:p>
    <w:p w14:paraId="7D89A403" w14:textId="77777777" w:rsidR="0071379F" w:rsidRDefault="0071379F" w:rsidP="0071379F">
      <w:pPr>
        <w:pStyle w:val="Heading1"/>
        <w:framePr w:w="9878" w:wrap="around" w:y="1"/>
      </w:pPr>
      <w:bookmarkStart w:id="0" w:name="_Toc498019382"/>
      <w:r>
        <w:lastRenderedPageBreak/>
        <w:t>Contents</w:t>
      </w:r>
      <w:bookmarkEnd w:id="0"/>
    </w:p>
    <w:p w14:paraId="5BF8180C" w14:textId="35FF8B42" w:rsidR="007E6A65" w:rsidRPr="000E0C38" w:rsidRDefault="00226ED7">
      <w:pPr>
        <w:pStyle w:val="TOC1"/>
        <w:tabs>
          <w:tab w:val="right" w:leader="underscore" w:pos="8790"/>
        </w:tabs>
        <w:rPr>
          <w:rFonts w:cstheme="minorHAnsi"/>
          <w:b w:val="0"/>
          <w:bCs w:val="0"/>
          <w:noProof/>
          <w:sz w:val="17"/>
          <w:szCs w:val="17"/>
          <w:lang w:eastAsia="en-GB"/>
        </w:rPr>
      </w:pPr>
      <w:r w:rsidRPr="000E0C38">
        <w:rPr>
          <w:rFonts w:cstheme="minorHAnsi"/>
          <w:sz w:val="17"/>
          <w:szCs w:val="17"/>
        </w:rPr>
        <w:fldChar w:fldCharType="begin"/>
      </w:r>
      <w:r w:rsidR="0071379F" w:rsidRPr="000E0C38">
        <w:rPr>
          <w:rFonts w:cstheme="minorHAnsi"/>
          <w:sz w:val="17"/>
          <w:szCs w:val="17"/>
        </w:rPr>
        <w:instrText xml:space="preserve"> TOC \o "1-1" \h \z \t "Heading 2,2,Appendix 2,1" </w:instrText>
      </w:r>
      <w:r w:rsidRPr="000E0C38">
        <w:rPr>
          <w:rFonts w:cstheme="minorHAnsi"/>
          <w:sz w:val="17"/>
          <w:szCs w:val="17"/>
        </w:rPr>
        <w:fldChar w:fldCharType="separate"/>
      </w:r>
      <w:hyperlink w:anchor="_Toc498019382" w:history="1">
        <w:r w:rsidR="007E6A65" w:rsidRPr="000E0C38">
          <w:rPr>
            <w:rStyle w:val="Hyperlink"/>
            <w:rFonts w:cstheme="minorHAnsi"/>
            <w:noProof/>
            <w:sz w:val="17"/>
            <w:szCs w:val="17"/>
          </w:rPr>
          <w:t>Contents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_Toc498019382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2</w:t>
        </w:r>
        <w:r w:rsidR="007E6A65" w:rsidRPr="000E0C38">
          <w:rPr>
            <w:rFonts w:cstheme="minorHAnsi"/>
            <w:noProof/>
            <w:webHidden/>
            <w:sz w:val="17"/>
            <w:szCs w:val="17"/>
          </w:rPr>
          <w:fldChar w:fldCharType="end"/>
        </w:r>
      </w:hyperlink>
    </w:p>
    <w:p w14:paraId="57BF6D8F" w14:textId="52B6088B" w:rsidR="007E6A65" w:rsidRPr="000E0C38" w:rsidRDefault="006A62B6">
      <w:pPr>
        <w:pStyle w:val="TOC1"/>
        <w:tabs>
          <w:tab w:val="right" w:leader="underscore" w:pos="8790"/>
        </w:tabs>
        <w:rPr>
          <w:rFonts w:cstheme="minorHAnsi"/>
          <w:b w:val="0"/>
          <w:bCs w:val="0"/>
          <w:noProof/>
          <w:sz w:val="17"/>
          <w:szCs w:val="17"/>
          <w:lang w:eastAsia="en-GB"/>
        </w:rPr>
      </w:pPr>
      <w:hyperlink w:anchor="_Toc498019383" w:history="1">
        <w:r w:rsidR="007E6A65" w:rsidRPr="000E0C38">
          <w:rPr>
            <w:rStyle w:val="Hyperlink"/>
            <w:rFonts w:cstheme="minorHAnsi"/>
            <w:noProof/>
            <w:sz w:val="17"/>
            <w:szCs w:val="17"/>
          </w:rPr>
          <w:t>Executive summary</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_Toc498019383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3</w:t>
        </w:r>
        <w:r w:rsidR="007E6A65" w:rsidRPr="000E0C38">
          <w:rPr>
            <w:rFonts w:cstheme="minorHAnsi"/>
            <w:noProof/>
            <w:webHidden/>
            <w:sz w:val="17"/>
            <w:szCs w:val="17"/>
          </w:rPr>
          <w:fldChar w:fldCharType="end"/>
        </w:r>
      </w:hyperlink>
    </w:p>
    <w:p w14:paraId="65DAE1AF" w14:textId="51D1B040" w:rsidR="007E6A65" w:rsidRPr="000E0C38" w:rsidRDefault="006A62B6">
      <w:pPr>
        <w:pStyle w:val="TOC1"/>
        <w:tabs>
          <w:tab w:val="right" w:leader="underscore" w:pos="8790"/>
        </w:tabs>
        <w:rPr>
          <w:rFonts w:cstheme="minorHAnsi"/>
          <w:b w:val="0"/>
          <w:bCs w:val="0"/>
          <w:noProof/>
          <w:sz w:val="17"/>
          <w:szCs w:val="17"/>
          <w:lang w:eastAsia="en-GB"/>
        </w:rPr>
      </w:pPr>
      <w:hyperlink w:anchor="_Toc498019384" w:history="1">
        <w:r w:rsidR="007E6A65" w:rsidRPr="000E0C38">
          <w:rPr>
            <w:rStyle w:val="Hyperlink"/>
            <w:rFonts w:cstheme="minorHAnsi"/>
            <w:noProof/>
            <w:sz w:val="17"/>
            <w:szCs w:val="17"/>
          </w:rPr>
          <w:t>Background</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_Toc498019384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6</w:t>
        </w:r>
        <w:r w:rsidR="007E6A65" w:rsidRPr="000E0C38">
          <w:rPr>
            <w:rFonts w:cstheme="minorHAnsi"/>
            <w:noProof/>
            <w:webHidden/>
            <w:sz w:val="17"/>
            <w:szCs w:val="17"/>
          </w:rPr>
          <w:fldChar w:fldCharType="end"/>
        </w:r>
      </w:hyperlink>
    </w:p>
    <w:p w14:paraId="1910F581" w14:textId="53BD2130" w:rsidR="007E6A65" w:rsidRPr="000E0C38" w:rsidRDefault="006A62B6">
      <w:pPr>
        <w:pStyle w:val="TOC1"/>
        <w:tabs>
          <w:tab w:val="right" w:leader="underscore" w:pos="8790"/>
        </w:tabs>
        <w:rPr>
          <w:rFonts w:cstheme="minorHAnsi"/>
          <w:b w:val="0"/>
          <w:bCs w:val="0"/>
          <w:noProof/>
          <w:sz w:val="17"/>
          <w:szCs w:val="17"/>
          <w:lang w:eastAsia="en-GB"/>
        </w:rPr>
      </w:pPr>
      <w:hyperlink w:anchor="_Toc498019385" w:history="1">
        <w:r w:rsidR="007E6A65" w:rsidRPr="000E0C38">
          <w:rPr>
            <w:rStyle w:val="Hyperlink"/>
            <w:rFonts w:cstheme="minorHAnsi"/>
            <w:noProof/>
            <w:sz w:val="17"/>
            <w:szCs w:val="17"/>
          </w:rPr>
          <w:t>1. What proportion of the workforce is employed in the construction industry in DFID focus countries?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_Toc498019385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8</w:t>
        </w:r>
        <w:r w:rsidR="007E6A65" w:rsidRPr="000E0C38">
          <w:rPr>
            <w:rFonts w:cstheme="minorHAnsi"/>
            <w:noProof/>
            <w:webHidden/>
            <w:sz w:val="17"/>
            <w:szCs w:val="17"/>
          </w:rPr>
          <w:fldChar w:fldCharType="end"/>
        </w:r>
      </w:hyperlink>
    </w:p>
    <w:p w14:paraId="3AA7242A" w14:textId="3CD61946" w:rsidR="007E6A65" w:rsidRPr="000E0C38" w:rsidRDefault="006A62B6">
      <w:pPr>
        <w:pStyle w:val="TOC2"/>
        <w:tabs>
          <w:tab w:val="right" w:leader="underscore" w:pos="8790"/>
        </w:tabs>
        <w:rPr>
          <w:rFonts w:cstheme="minorHAnsi"/>
          <w:b w:val="0"/>
          <w:bCs w:val="0"/>
          <w:noProof/>
          <w:sz w:val="17"/>
          <w:szCs w:val="17"/>
          <w:lang w:eastAsia="en-GB"/>
        </w:rPr>
      </w:pPr>
      <w:hyperlink w:anchor="_Toc498019386" w:history="1">
        <w:r w:rsidR="007E6A65" w:rsidRPr="000E0C38">
          <w:rPr>
            <w:rStyle w:val="Hyperlink"/>
            <w:rFonts w:cstheme="minorHAnsi"/>
            <w:noProof/>
            <w:sz w:val="17"/>
            <w:szCs w:val="17"/>
            <w:lang w:eastAsia="zh-CN"/>
          </w:rPr>
          <w:t>1.1 Employment trends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_Toc498019386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9</w:t>
        </w:r>
        <w:r w:rsidR="007E6A65" w:rsidRPr="000E0C38">
          <w:rPr>
            <w:rFonts w:cstheme="minorHAnsi"/>
            <w:noProof/>
            <w:webHidden/>
            <w:sz w:val="17"/>
            <w:szCs w:val="17"/>
          </w:rPr>
          <w:fldChar w:fldCharType="end"/>
        </w:r>
      </w:hyperlink>
    </w:p>
    <w:p w14:paraId="392331FB" w14:textId="0DB00725" w:rsidR="007E6A65" w:rsidRPr="000E0C38" w:rsidRDefault="006A62B6">
      <w:pPr>
        <w:pStyle w:val="TOC2"/>
        <w:tabs>
          <w:tab w:val="right" w:leader="underscore" w:pos="8790"/>
        </w:tabs>
        <w:rPr>
          <w:rFonts w:cstheme="minorHAnsi"/>
          <w:b w:val="0"/>
          <w:bCs w:val="0"/>
          <w:noProof/>
          <w:sz w:val="17"/>
          <w:szCs w:val="17"/>
          <w:lang w:eastAsia="en-GB"/>
        </w:rPr>
      </w:pPr>
      <w:hyperlink w:anchor="_Toc498019387" w:history="1">
        <w:r w:rsidR="007E6A65" w:rsidRPr="000E0C38">
          <w:rPr>
            <w:rStyle w:val="Hyperlink"/>
            <w:rFonts w:cstheme="minorHAnsi"/>
            <w:noProof/>
            <w:sz w:val="17"/>
            <w:szCs w:val="17"/>
            <w:lang w:eastAsia="zh-CN"/>
          </w:rPr>
          <w:t>1.2 Foreign participation</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_Toc498019387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10</w:t>
        </w:r>
        <w:r w:rsidR="007E6A65" w:rsidRPr="000E0C38">
          <w:rPr>
            <w:rFonts w:cstheme="minorHAnsi"/>
            <w:noProof/>
            <w:webHidden/>
            <w:sz w:val="17"/>
            <w:szCs w:val="17"/>
          </w:rPr>
          <w:fldChar w:fldCharType="end"/>
        </w:r>
      </w:hyperlink>
    </w:p>
    <w:p w14:paraId="1641320B" w14:textId="731642B1" w:rsidR="007E6A65" w:rsidRPr="000E0C38" w:rsidRDefault="006A62B6">
      <w:pPr>
        <w:pStyle w:val="TOC2"/>
        <w:tabs>
          <w:tab w:val="right" w:leader="underscore" w:pos="8790"/>
        </w:tabs>
        <w:rPr>
          <w:rFonts w:cstheme="minorHAnsi"/>
          <w:b w:val="0"/>
          <w:bCs w:val="0"/>
          <w:noProof/>
          <w:sz w:val="17"/>
          <w:szCs w:val="17"/>
          <w:lang w:eastAsia="en-GB"/>
        </w:rPr>
      </w:pPr>
      <w:hyperlink w:anchor="_Toc498019388" w:history="1">
        <w:r w:rsidR="007E6A65" w:rsidRPr="000E0C38">
          <w:rPr>
            <w:rStyle w:val="Hyperlink"/>
            <w:rFonts w:cstheme="minorHAnsi"/>
            <w:noProof/>
            <w:sz w:val="17"/>
            <w:szCs w:val="17"/>
            <w:lang w:eastAsia="zh-CN"/>
          </w:rPr>
          <w:t>1.3 Female participation</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_Toc498019388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11</w:t>
        </w:r>
        <w:r w:rsidR="007E6A65" w:rsidRPr="000E0C38">
          <w:rPr>
            <w:rFonts w:cstheme="minorHAnsi"/>
            <w:noProof/>
            <w:webHidden/>
            <w:sz w:val="17"/>
            <w:szCs w:val="17"/>
          </w:rPr>
          <w:fldChar w:fldCharType="end"/>
        </w:r>
      </w:hyperlink>
    </w:p>
    <w:p w14:paraId="5E298AE3" w14:textId="50827C76" w:rsidR="007E6A65" w:rsidRPr="000E0C38" w:rsidRDefault="006A62B6">
      <w:pPr>
        <w:pStyle w:val="TOC2"/>
        <w:tabs>
          <w:tab w:val="left" w:pos="960"/>
          <w:tab w:val="right" w:leader="underscore" w:pos="8790"/>
        </w:tabs>
        <w:rPr>
          <w:rFonts w:cstheme="minorHAnsi"/>
          <w:b w:val="0"/>
          <w:bCs w:val="0"/>
          <w:noProof/>
          <w:sz w:val="17"/>
          <w:szCs w:val="17"/>
          <w:lang w:eastAsia="en-GB"/>
        </w:rPr>
      </w:pPr>
      <w:hyperlink w:anchor="_Toc498019389" w:history="1">
        <w:r w:rsidR="007E6A65" w:rsidRPr="000E0C38">
          <w:rPr>
            <w:rStyle w:val="Hyperlink"/>
            <w:rFonts w:cstheme="minorHAnsi"/>
            <w:noProof/>
            <w:sz w:val="17"/>
            <w:szCs w:val="17"/>
            <w:lang w:eastAsia="zh-CN"/>
          </w:rPr>
          <w:t>1.4</w:t>
        </w:r>
        <w:r w:rsidR="007E6A65" w:rsidRPr="000E0C38">
          <w:rPr>
            <w:rFonts w:cstheme="minorHAnsi"/>
            <w:b w:val="0"/>
            <w:bCs w:val="0"/>
            <w:noProof/>
            <w:sz w:val="17"/>
            <w:szCs w:val="17"/>
            <w:lang w:eastAsia="en-GB"/>
          </w:rPr>
          <w:t xml:space="preserve"> </w:t>
        </w:r>
        <w:r w:rsidR="007E6A65" w:rsidRPr="000E0C38">
          <w:rPr>
            <w:rStyle w:val="Hyperlink"/>
            <w:rFonts w:cstheme="minorHAnsi"/>
            <w:noProof/>
            <w:sz w:val="17"/>
            <w:szCs w:val="17"/>
            <w:lang w:eastAsia="zh-CN"/>
          </w:rPr>
          <w:t>Jobs in construction supply chains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_Toc498019389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13</w:t>
        </w:r>
        <w:r w:rsidR="007E6A65" w:rsidRPr="000E0C38">
          <w:rPr>
            <w:rFonts w:cstheme="minorHAnsi"/>
            <w:noProof/>
            <w:webHidden/>
            <w:sz w:val="17"/>
            <w:szCs w:val="17"/>
          </w:rPr>
          <w:fldChar w:fldCharType="end"/>
        </w:r>
      </w:hyperlink>
    </w:p>
    <w:p w14:paraId="7AC21DD3" w14:textId="698A4623" w:rsidR="007E6A65" w:rsidRPr="000E0C38" w:rsidRDefault="006A62B6">
      <w:pPr>
        <w:pStyle w:val="TOC1"/>
        <w:tabs>
          <w:tab w:val="right" w:leader="underscore" w:pos="8790"/>
        </w:tabs>
        <w:rPr>
          <w:rFonts w:cstheme="minorHAnsi"/>
          <w:b w:val="0"/>
          <w:bCs w:val="0"/>
          <w:noProof/>
          <w:sz w:val="17"/>
          <w:szCs w:val="17"/>
          <w:lang w:eastAsia="en-GB"/>
        </w:rPr>
      </w:pPr>
      <w:hyperlink w:anchor="_Toc498019390" w:history="1">
        <w:r w:rsidR="007E6A65" w:rsidRPr="000E0C38">
          <w:rPr>
            <w:rStyle w:val="Hyperlink"/>
            <w:rFonts w:cstheme="minorHAnsi"/>
            <w:noProof/>
            <w:sz w:val="17"/>
            <w:szCs w:val="17"/>
            <w:lang w:eastAsia="zh-CN"/>
          </w:rPr>
          <w:t>2 What is the nature of construction industry employment in DFID focus countries?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_Toc498019390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14</w:t>
        </w:r>
        <w:r w:rsidR="007E6A65" w:rsidRPr="000E0C38">
          <w:rPr>
            <w:rFonts w:cstheme="minorHAnsi"/>
            <w:noProof/>
            <w:webHidden/>
            <w:sz w:val="17"/>
            <w:szCs w:val="17"/>
          </w:rPr>
          <w:fldChar w:fldCharType="end"/>
        </w:r>
      </w:hyperlink>
    </w:p>
    <w:p w14:paraId="03FF0F0F" w14:textId="203A2A2E" w:rsidR="007E6A65" w:rsidRPr="000E0C38" w:rsidRDefault="006A62B6">
      <w:pPr>
        <w:pStyle w:val="TOC2"/>
        <w:tabs>
          <w:tab w:val="right" w:leader="underscore" w:pos="8790"/>
        </w:tabs>
        <w:rPr>
          <w:rFonts w:cstheme="minorHAnsi"/>
          <w:b w:val="0"/>
          <w:bCs w:val="0"/>
          <w:noProof/>
          <w:sz w:val="17"/>
          <w:szCs w:val="17"/>
          <w:lang w:eastAsia="en-GB"/>
        </w:rPr>
      </w:pPr>
      <w:hyperlink w:anchor="_Toc498019391" w:history="1">
        <w:r w:rsidR="007E6A65" w:rsidRPr="000E0C38">
          <w:rPr>
            <w:rStyle w:val="Hyperlink"/>
            <w:rFonts w:cstheme="minorHAnsi"/>
            <w:noProof/>
            <w:sz w:val="17"/>
            <w:szCs w:val="17"/>
            <w:lang w:eastAsia="zh-CN"/>
          </w:rPr>
          <w:t>2.1 Informality and non-standard forms of employment</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_Toc498019391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14</w:t>
        </w:r>
        <w:r w:rsidR="007E6A65" w:rsidRPr="000E0C38">
          <w:rPr>
            <w:rFonts w:cstheme="minorHAnsi"/>
            <w:noProof/>
            <w:webHidden/>
            <w:sz w:val="17"/>
            <w:szCs w:val="17"/>
          </w:rPr>
          <w:fldChar w:fldCharType="end"/>
        </w:r>
      </w:hyperlink>
    </w:p>
    <w:p w14:paraId="6AF15909" w14:textId="05EA5019" w:rsidR="007E6A65" w:rsidRPr="000E0C38" w:rsidRDefault="006A62B6">
      <w:pPr>
        <w:pStyle w:val="TOC2"/>
        <w:tabs>
          <w:tab w:val="right" w:leader="underscore" w:pos="8790"/>
        </w:tabs>
        <w:rPr>
          <w:rFonts w:cstheme="minorHAnsi"/>
          <w:b w:val="0"/>
          <w:bCs w:val="0"/>
          <w:noProof/>
          <w:sz w:val="17"/>
          <w:szCs w:val="17"/>
          <w:lang w:eastAsia="en-GB"/>
        </w:rPr>
      </w:pPr>
      <w:hyperlink w:anchor="_Toc498019392" w:history="1">
        <w:r w:rsidR="007E6A65" w:rsidRPr="000E0C38">
          <w:rPr>
            <w:rStyle w:val="Hyperlink"/>
            <w:rFonts w:cstheme="minorHAnsi"/>
            <w:noProof/>
            <w:sz w:val="17"/>
            <w:szCs w:val="17"/>
            <w:lang w:eastAsia="zh-CN"/>
          </w:rPr>
          <w:t>2.2 Foreign contractors and labour migrants in civil works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_Toc498019392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16</w:t>
        </w:r>
        <w:r w:rsidR="007E6A65" w:rsidRPr="000E0C38">
          <w:rPr>
            <w:rFonts w:cstheme="minorHAnsi"/>
            <w:noProof/>
            <w:webHidden/>
            <w:sz w:val="17"/>
            <w:szCs w:val="17"/>
          </w:rPr>
          <w:fldChar w:fldCharType="end"/>
        </w:r>
      </w:hyperlink>
    </w:p>
    <w:p w14:paraId="47F19D03" w14:textId="3B64B018" w:rsidR="007E6A65" w:rsidRPr="000E0C38" w:rsidRDefault="006A62B6">
      <w:pPr>
        <w:pStyle w:val="TOC2"/>
        <w:tabs>
          <w:tab w:val="right" w:leader="underscore" w:pos="8790"/>
        </w:tabs>
        <w:rPr>
          <w:rFonts w:cstheme="minorHAnsi"/>
          <w:b w:val="0"/>
          <w:bCs w:val="0"/>
          <w:noProof/>
          <w:sz w:val="17"/>
          <w:szCs w:val="17"/>
          <w:lang w:eastAsia="en-GB"/>
        </w:rPr>
      </w:pPr>
      <w:hyperlink w:anchor="_Toc498019393" w:history="1">
        <w:r w:rsidR="007E6A65" w:rsidRPr="000E0C38">
          <w:rPr>
            <w:rStyle w:val="Hyperlink"/>
            <w:rFonts w:cstheme="minorHAnsi"/>
            <w:noProof/>
            <w:sz w:val="17"/>
            <w:szCs w:val="17"/>
            <w:lang w:eastAsia="zh-CN"/>
          </w:rPr>
          <w:t>2.3 Occupational health and safety conditions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_Toc498019393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18</w:t>
        </w:r>
        <w:r w:rsidR="007E6A65" w:rsidRPr="000E0C38">
          <w:rPr>
            <w:rFonts w:cstheme="minorHAnsi"/>
            <w:noProof/>
            <w:webHidden/>
            <w:sz w:val="17"/>
            <w:szCs w:val="17"/>
          </w:rPr>
          <w:fldChar w:fldCharType="end"/>
        </w:r>
      </w:hyperlink>
    </w:p>
    <w:p w14:paraId="1B2167EA" w14:textId="358AE2C9" w:rsidR="007E6A65" w:rsidRPr="000E0C38" w:rsidRDefault="006A62B6">
      <w:pPr>
        <w:pStyle w:val="TOC2"/>
        <w:tabs>
          <w:tab w:val="right" w:leader="underscore" w:pos="8790"/>
        </w:tabs>
        <w:rPr>
          <w:rFonts w:cstheme="minorHAnsi"/>
          <w:b w:val="0"/>
          <w:bCs w:val="0"/>
          <w:noProof/>
          <w:sz w:val="17"/>
          <w:szCs w:val="17"/>
          <w:lang w:eastAsia="en-GB"/>
        </w:rPr>
      </w:pPr>
      <w:hyperlink w:anchor="_Toc498019394" w:history="1">
        <w:r w:rsidR="007E6A65" w:rsidRPr="000E0C38">
          <w:rPr>
            <w:rStyle w:val="Hyperlink"/>
            <w:rFonts w:cstheme="minorHAnsi"/>
            <w:noProof/>
            <w:sz w:val="17"/>
            <w:szCs w:val="17"/>
            <w:lang w:eastAsia="zh-CN"/>
          </w:rPr>
          <w:t>2.4 Working conditions for women and other marginalised groups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_Toc498019394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20</w:t>
        </w:r>
        <w:r w:rsidR="007E6A65" w:rsidRPr="000E0C38">
          <w:rPr>
            <w:rFonts w:cstheme="minorHAnsi"/>
            <w:noProof/>
            <w:webHidden/>
            <w:sz w:val="17"/>
            <w:szCs w:val="17"/>
          </w:rPr>
          <w:fldChar w:fldCharType="end"/>
        </w:r>
      </w:hyperlink>
    </w:p>
    <w:p w14:paraId="6B9C3E18" w14:textId="2D0E1DC2" w:rsidR="007E6A65" w:rsidRPr="000E0C38" w:rsidRDefault="006A62B6">
      <w:pPr>
        <w:pStyle w:val="TOC2"/>
        <w:tabs>
          <w:tab w:val="right" w:leader="underscore" w:pos="8790"/>
        </w:tabs>
        <w:rPr>
          <w:rFonts w:cstheme="minorHAnsi"/>
          <w:b w:val="0"/>
          <w:bCs w:val="0"/>
          <w:noProof/>
          <w:sz w:val="17"/>
          <w:szCs w:val="17"/>
          <w:lang w:eastAsia="en-GB"/>
        </w:rPr>
      </w:pPr>
      <w:hyperlink w:anchor="_Toc498019395" w:history="1">
        <w:r w:rsidR="007E6A65" w:rsidRPr="000E0C38">
          <w:rPr>
            <w:rStyle w:val="Hyperlink"/>
            <w:rFonts w:cstheme="minorHAnsi"/>
            <w:noProof/>
            <w:sz w:val="17"/>
            <w:szCs w:val="17"/>
            <w:lang w:eastAsia="zh-CN"/>
          </w:rPr>
          <w:t>2.5 Child labour in construction supply chains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_Toc498019395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21</w:t>
        </w:r>
        <w:r w:rsidR="007E6A65" w:rsidRPr="000E0C38">
          <w:rPr>
            <w:rFonts w:cstheme="minorHAnsi"/>
            <w:noProof/>
            <w:webHidden/>
            <w:sz w:val="17"/>
            <w:szCs w:val="17"/>
          </w:rPr>
          <w:fldChar w:fldCharType="end"/>
        </w:r>
      </w:hyperlink>
    </w:p>
    <w:p w14:paraId="64070080" w14:textId="1E4E9836" w:rsidR="007E6A65" w:rsidRPr="000E0C38" w:rsidRDefault="006A62B6">
      <w:pPr>
        <w:pStyle w:val="TOC2"/>
        <w:tabs>
          <w:tab w:val="right" w:leader="underscore" w:pos="8790"/>
        </w:tabs>
        <w:rPr>
          <w:rFonts w:cstheme="minorHAnsi"/>
          <w:b w:val="0"/>
          <w:bCs w:val="0"/>
          <w:noProof/>
          <w:sz w:val="17"/>
          <w:szCs w:val="17"/>
          <w:lang w:eastAsia="en-GB"/>
        </w:rPr>
      </w:pPr>
      <w:hyperlink w:anchor="_Toc498019396" w:history="1">
        <w:r w:rsidR="007E6A65" w:rsidRPr="000E0C38">
          <w:rPr>
            <w:rStyle w:val="Hyperlink"/>
            <w:rFonts w:cstheme="minorHAnsi"/>
            <w:noProof/>
            <w:sz w:val="17"/>
            <w:szCs w:val="17"/>
            <w:lang w:eastAsia="zh-CN"/>
          </w:rPr>
          <w:t>2.6 Skills and education levels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_Toc498019396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22</w:t>
        </w:r>
        <w:r w:rsidR="007E6A65" w:rsidRPr="000E0C38">
          <w:rPr>
            <w:rFonts w:cstheme="minorHAnsi"/>
            <w:noProof/>
            <w:webHidden/>
            <w:sz w:val="17"/>
            <w:szCs w:val="17"/>
          </w:rPr>
          <w:fldChar w:fldCharType="end"/>
        </w:r>
      </w:hyperlink>
    </w:p>
    <w:p w14:paraId="7BAB09FC" w14:textId="734A3E57" w:rsidR="007E6A65" w:rsidRPr="000E0C38" w:rsidRDefault="006A62B6">
      <w:pPr>
        <w:pStyle w:val="TOC2"/>
        <w:tabs>
          <w:tab w:val="right" w:leader="underscore" w:pos="8790"/>
        </w:tabs>
        <w:rPr>
          <w:rFonts w:cstheme="minorHAnsi"/>
          <w:b w:val="0"/>
          <w:bCs w:val="0"/>
          <w:noProof/>
          <w:sz w:val="17"/>
          <w:szCs w:val="17"/>
          <w:lang w:eastAsia="en-GB"/>
        </w:rPr>
      </w:pPr>
      <w:hyperlink w:anchor="_Toc498019397" w:history="1">
        <w:r w:rsidR="007E6A65" w:rsidRPr="000E0C38">
          <w:rPr>
            <w:rStyle w:val="Hyperlink"/>
            <w:rFonts w:cstheme="minorHAnsi"/>
            <w:noProof/>
            <w:sz w:val="17"/>
            <w:szCs w:val="17"/>
            <w:lang w:eastAsia="zh-CN"/>
          </w:rPr>
          <w:t>2.7 Collective bargaining and union density</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_Toc498019397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23</w:t>
        </w:r>
        <w:r w:rsidR="007E6A65" w:rsidRPr="000E0C38">
          <w:rPr>
            <w:rFonts w:cstheme="minorHAnsi"/>
            <w:noProof/>
            <w:webHidden/>
            <w:sz w:val="17"/>
            <w:szCs w:val="17"/>
          </w:rPr>
          <w:fldChar w:fldCharType="end"/>
        </w:r>
      </w:hyperlink>
    </w:p>
    <w:p w14:paraId="6BAB006E" w14:textId="7038E67B" w:rsidR="007E6A65" w:rsidRPr="000E0C38" w:rsidRDefault="006A62B6">
      <w:pPr>
        <w:pStyle w:val="TOC1"/>
        <w:tabs>
          <w:tab w:val="right" w:leader="underscore" w:pos="8790"/>
        </w:tabs>
        <w:rPr>
          <w:rFonts w:cstheme="minorHAnsi"/>
          <w:b w:val="0"/>
          <w:bCs w:val="0"/>
          <w:noProof/>
          <w:sz w:val="17"/>
          <w:szCs w:val="17"/>
          <w:lang w:eastAsia="en-GB"/>
        </w:rPr>
      </w:pPr>
      <w:hyperlink w:anchor="_Toc498019398" w:history="1">
        <w:r w:rsidR="007E6A65" w:rsidRPr="000E0C38">
          <w:rPr>
            <w:rStyle w:val="Hyperlink"/>
            <w:rFonts w:cstheme="minorHAnsi"/>
            <w:noProof/>
            <w:sz w:val="17"/>
            <w:szCs w:val="17"/>
            <w:lang w:eastAsia="zh-CN"/>
          </w:rPr>
          <w:t>3 What are the opportunities for/barriers to scaling up quality employment in the construction industry in DFID focus countries?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_Toc498019398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25</w:t>
        </w:r>
        <w:r w:rsidR="007E6A65" w:rsidRPr="000E0C38">
          <w:rPr>
            <w:rFonts w:cstheme="minorHAnsi"/>
            <w:noProof/>
            <w:webHidden/>
            <w:sz w:val="17"/>
            <w:szCs w:val="17"/>
          </w:rPr>
          <w:fldChar w:fldCharType="end"/>
        </w:r>
      </w:hyperlink>
    </w:p>
    <w:p w14:paraId="1A3C6DC8" w14:textId="1067DADE" w:rsidR="007E6A65" w:rsidRPr="000E0C38" w:rsidRDefault="006A62B6">
      <w:pPr>
        <w:pStyle w:val="TOC2"/>
        <w:tabs>
          <w:tab w:val="right" w:leader="underscore" w:pos="8790"/>
        </w:tabs>
        <w:rPr>
          <w:rFonts w:cstheme="minorHAnsi"/>
          <w:b w:val="0"/>
          <w:bCs w:val="0"/>
          <w:noProof/>
          <w:sz w:val="17"/>
          <w:szCs w:val="17"/>
          <w:lang w:eastAsia="en-GB"/>
        </w:rPr>
      </w:pPr>
      <w:hyperlink w:anchor="_Toc498019399" w:history="1">
        <w:r w:rsidR="007E6A65" w:rsidRPr="000E0C38">
          <w:rPr>
            <w:rStyle w:val="Hyperlink"/>
            <w:rFonts w:cstheme="minorHAnsi"/>
            <w:noProof/>
            <w:sz w:val="17"/>
            <w:szCs w:val="17"/>
            <w:lang w:eastAsia="zh-CN"/>
          </w:rPr>
          <w:t>3.2 Supporting transition to formality</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_Toc498019399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26</w:t>
        </w:r>
        <w:r w:rsidR="007E6A65" w:rsidRPr="000E0C38">
          <w:rPr>
            <w:rFonts w:cstheme="minorHAnsi"/>
            <w:noProof/>
            <w:webHidden/>
            <w:sz w:val="17"/>
            <w:szCs w:val="17"/>
          </w:rPr>
          <w:fldChar w:fldCharType="end"/>
        </w:r>
      </w:hyperlink>
    </w:p>
    <w:p w14:paraId="1B4C41D6" w14:textId="10AF7ECA" w:rsidR="007E6A65" w:rsidRPr="000E0C38" w:rsidRDefault="006A62B6">
      <w:pPr>
        <w:pStyle w:val="TOC2"/>
        <w:tabs>
          <w:tab w:val="right" w:leader="underscore" w:pos="8790"/>
        </w:tabs>
        <w:rPr>
          <w:rFonts w:cstheme="minorHAnsi"/>
          <w:b w:val="0"/>
          <w:bCs w:val="0"/>
          <w:noProof/>
          <w:sz w:val="17"/>
          <w:szCs w:val="17"/>
          <w:lang w:eastAsia="en-GB"/>
        </w:rPr>
      </w:pPr>
      <w:hyperlink w:anchor="_Toc498019400" w:history="1">
        <w:r w:rsidR="007E6A65" w:rsidRPr="000E0C38">
          <w:rPr>
            <w:rStyle w:val="Hyperlink"/>
            <w:rFonts w:cstheme="minorHAnsi"/>
            <w:noProof/>
            <w:sz w:val="17"/>
            <w:szCs w:val="17"/>
          </w:rPr>
          <w:t>3.2 Harnessing the benefits of foreign participation</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_Toc498019400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27</w:t>
        </w:r>
        <w:r w:rsidR="007E6A65" w:rsidRPr="000E0C38">
          <w:rPr>
            <w:rFonts w:cstheme="minorHAnsi"/>
            <w:noProof/>
            <w:webHidden/>
            <w:sz w:val="17"/>
            <w:szCs w:val="17"/>
          </w:rPr>
          <w:fldChar w:fldCharType="end"/>
        </w:r>
      </w:hyperlink>
    </w:p>
    <w:p w14:paraId="578680B6" w14:textId="2D17A0C7" w:rsidR="007E6A65" w:rsidRPr="000E0C38" w:rsidRDefault="006A62B6">
      <w:pPr>
        <w:pStyle w:val="TOC2"/>
        <w:tabs>
          <w:tab w:val="right" w:leader="underscore" w:pos="8790"/>
        </w:tabs>
        <w:rPr>
          <w:rFonts w:cstheme="minorHAnsi"/>
          <w:b w:val="0"/>
          <w:bCs w:val="0"/>
          <w:noProof/>
          <w:sz w:val="17"/>
          <w:szCs w:val="17"/>
          <w:lang w:eastAsia="en-GB"/>
        </w:rPr>
      </w:pPr>
      <w:hyperlink w:anchor="_Toc498019401" w:history="1">
        <w:r w:rsidR="007E6A65" w:rsidRPr="000E0C38">
          <w:rPr>
            <w:rStyle w:val="Hyperlink"/>
            <w:rFonts w:cstheme="minorHAnsi"/>
            <w:noProof/>
            <w:sz w:val="17"/>
            <w:szCs w:val="17"/>
            <w:lang w:eastAsia="zh-CN"/>
          </w:rPr>
          <w:t>3.3 Addressing construction safety and health</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_Toc498019401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28</w:t>
        </w:r>
        <w:r w:rsidR="007E6A65" w:rsidRPr="000E0C38">
          <w:rPr>
            <w:rFonts w:cstheme="minorHAnsi"/>
            <w:noProof/>
            <w:webHidden/>
            <w:sz w:val="17"/>
            <w:szCs w:val="17"/>
          </w:rPr>
          <w:fldChar w:fldCharType="end"/>
        </w:r>
      </w:hyperlink>
    </w:p>
    <w:p w14:paraId="5E04BB61" w14:textId="65DCADAF" w:rsidR="007E6A65" w:rsidRPr="000E0C38" w:rsidRDefault="006A62B6">
      <w:pPr>
        <w:pStyle w:val="TOC2"/>
        <w:tabs>
          <w:tab w:val="right" w:leader="underscore" w:pos="8790"/>
        </w:tabs>
        <w:rPr>
          <w:rFonts w:cstheme="minorHAnsi"/>
          <w:b w:val="0"/>
          <w:bCs w:val="0"/>
          <w:noProof/>
          <w:sz w:val="17"/>
          <w:szCs w:val="17"/>
          <w:lang w:eastAsia="en-GB"/>
        </w:rPr>
      </w:pPr>
      <w:hyperlink w:anchor="_Toc498019402" w:history="1">
        <w:r w:rsidR="007E6A65" w:rsidRPr="000E0C38">
          <w:rPr>
            <w:rStyle w:val="Hyperlink"/>
            <w:rFonts w:cstheme="minorHAnsi"/>
            <w:noProof/>
            <w:sz w:val="17"/>
            <w:szCs w:val="17"/>
          </w:rPr>
          <w:t>3.4 Promoting equal access to decent employment for national workers (including women)</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_Toc498019402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28</w:t>
        </w:r>
        <w:r w:rsidR="007E6A65" w:rsidRPr="000E0C38">
          <w:rPr>
            <w:rFonts w:cstheme="minorHAnsi"/>
            <w:noProof/>
            <w:webHidden/>
            <w:sz w:val="17"/>
            <w:szCs w:val="17"/>
          </w:rPr>
          <w:fldChar w:fldCharType="end"/>
        </w:r>
      </w:hyperlink>
    </w:p>
    <w:p w14:paraId="76955C57" w14:textId="0E141920" w:rsidR="007E6A65" w:rsidRPr="000E0C38" w:rsidRDefault="006A62B6">
      <w:pPr>
        <w:pStyle w:val="TOC2"/>
        <w:tabs>
          <w:tab w:val="right" w:leader="underscore" w:pos="8790"/>
        </w:tabs>
        <w:rPr>
          <w:rFonts w:cstheme="minorHAnsi"/>
          <w:b w:val="0"/>
          <w:bCs w:val="0"/>
          <w:noProof/>
          <w:sz w:val="17"/>
          <w:szCs w:val="17"/>
          <w:lang w:eastAsia="en-GB"/>
        </w:rPr>
      </w:pPr>
      <w:hyperlink w:anchor="_Toc498019403" w:history="1">
        <w:r w:rsidR="007E6A65" w:rsidRPr="000E0C38">
          <w:rPr>
            <w:rStyle w:val="Hyperlink"/>
            <w:rFonts w:cstheme="minorHAnsi"/>
            <w:noProof/>
            <w:sz w:val="17"/>
            <w:szCs w:val="17"/>
            <w:lang w:eastAsia="zh-CN"/>
          </w:rPr>
          <w:t>3.5 Eliminating child and forced labour in construction supply chains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_Toc498019403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29</w:t>
        </w:r>
        <w:r w:rsidR="007E6A65" w:rsidRPr="000E0C38">
          <w:rPr>
            <w:rFonts w:cstheme="minorHAnsi"/>
            <w:noProof/>
            <w:webHidden/>
            <w:sz w:val="17"/>
            <w:szCs w:val="17"/>
          </w:rPr>
          <w:fldChar w:fldCharType="end"/>
        </w:r>
      </w:hyperlink>
    </w:p>
    <w:p w14:paraId="5B046938" w14:textId="2DAD7952" w:rsidR="007E6A65" w:rsidRPr="000E0C38" w:rsidRDefault="006A62B6">
      <w:pPr>
        <w:pStyle w:val="TOC2"/>
        <w:tabs>
          <w:tab w:val="right" w:leader="underscore" w:pos="8790"/>
        </w:tabs>
        <w:rPr>
          <w:rFonts w:cstheme="minorHAnsi"/>
          <w:b w:val="0"/>
          <w:bCs w:val="0"/>
          <w:noProof/>
          <w:sz w:val="17"/>
          <w:szCs w:val="17"/>
          <w:lang w:eastAsia="en-GB"/>
        </w:rPr>
      </w:pPr>
      <w:hyperlink w:anchor="_Toc498019404" w:history="1">
        <w:r w:rsidR="007E6A65" w:rsidRPr="000E0C38">
          <w:rPr>
            <w:rStyle w:val="Hyperlink"/>
            <w:rFonts w:cstheme="minorHAnsi"/>
            <w:noProof/>
            <w:sz w:val="17"/>
            <w:szCs w:val="17"/>
            <w:lang w:eastAsia="zh-CN"/>
          </w:rPr>
          <w:t>3.6 Skills and education development</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_Toc498019404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29</w:t>
        </w:r>
        <w:r w:rsidR="007E6A65" w:rsidRPr="000E0C38">
          <w:rPr>
            <w:rFonts w:cstheme="minorHAnsi"/>
            <w:noProof/>
            <w:webHidden/>
            <w:sz w:val="17"/>
            <w:szCs w:val="17"/>
          </w:rPr>
          <w:fldChar w:fldCharType="end"/>
        </w:r>
      </w:hyperlink>
    </w:p>
    <w:p w14:paraId="53456DAC" w14:textId="0C08DD78" w:rsidR="007E6A65" w:rsidRPr="000E0C38" w:rsidRDefault="006A62B6">
      <w:pPr>
        <w:pStyle w:val="TOC2"/>
        <w:tabs>
          <w:tab w:val="right" w:leader="underscore" w:pos="8790"/>
        </w:tabs>
        <w:rPr>
          <w:rFonts w:cstheme="minorHAnsi"/>
          <w:b w:val="0"/>
          <w:bCs w:val="0"/>
          <w:noProof/>
          <w:sz w:val="17"/>
          <w:szCs w:val="17"/>
          <w:lang w:eastAsia="en-GB"/>
        </w:rPr>
      </w:pPr>
      <w:hyperlink w:anchor="_Toc498019405" w:history="1">
        <w:r w:rsidR="007E6A65" w:rsidRPr="000E0C38">
          <w:rPr>
            <w:rStyle w:val="Hyperlink"/>
            <w:rFonts w:cstheme="minorHAnsi"/>
            <w:noProof/>
            <w:sz w:val="17"/>
            <w:szCs w:val="17"/>
          </w:rPr>
          <w:t>3.7 Overcoming barriers to successful implementation</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_Toc498019405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30</w:t>
        </w:r>
        <w:r w:rsidR="007E6A65" w:rsidRPr="000E0C38">
          <w:rPr>
            <w:rFonts w:cstheme="minorHAnsi"/>
            <w:noProof/>
            <w:webHidden/>
            <w:sz w:val="17"/>
            <w:szCs w:val="17"/>
          </w:rPr>
          <w:fldChar w:fldCharType="end"/>
        </w:r>
      </w:hyperlink>
    </w:p>
    <w:p w14:paraId="298D41A4" w14:textId="68D05156" w:rsidR="007E6A65" w:rsidRPr="000E0C38" w:rsidRDefault="006A62B6">
      <w:pPr>
        <w:pStyle w:val="TOC1"/>
        <w:tabs>
          <w:tab w:val="right" w:leader="underscore" w:pos="8790"/>
        </w:tabs>
        <w:rPr>
          <w:rFonts w:cstheme="minorHAnsi"/>
          <w:b w:val="0"/>
          <w:bCs w:val="0"/>
          <w:noProof/>
          <w:sz w:val="17"/>
          <w:szCs w:val="17"/>
          <w:lang w:eastAsia="en-GB"/>
        </w:rPr>
      </w:pPr>
      <w:hyperlink w:anchor="_Toc498019406" w:history="1">
        <w:r w:rsidR="007E6A65" w:rsidRPr="000E0C38">
          <w:rPr>
            <w:rStyle w:val="Hyperlink"/>
            <w:rFonts w:cstheme="minorHAnsi"/>
            <w:noProof/>
            <w:sz w:val="17"/>
            <w:szCs w:val="17"/>
          </w:rPr>
          <w:t>4. Would investing in strengthening the construction industry and creating / improving the quality of jobs in the construction industry create good value for money (VFM) for UK Aid?</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_Toc498019406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32</w:t>
        </w:r>
        <w:r w:rsidR="007E6A65" w:rsidRPr="000E0C38">
          <w:rPr>
            <w:rFonts w:cstheme="minorHAnsi"/>
            <w:noProof/>
            <w:webHidden/>
            <w:sz w:val="17"/>
            <w:szCs w:val="17"/>
          </w:rPr>
          <w:fldChar w:fldCharType="end"/>
        </w:r>
      </w:hyperlink>
    </w:p>
    <w:p w14:paraId="6D7DBFE7" w14:textId="1CED80FA" w:rsidR="007E6A65" w:rsidRPr="000E0C38" w:rsidRDefault="006A62B6">
      <w:pPr>
        <w:pStyle w:val="TOC2"/>
        <w:tabs>
          <w:tab w:val="right" w:leader="underscore" w:pos="8790"/>
        </w:tabs>
        <w:rPr>
          <w:rFonts w:cstheme="minorHAnsi"/>
          <w:b w:val="0"/>
          <w:bCs w:val="0"/>
          <w:noProof/>
          <w:sz w:val="17"/>
          <w:szCs w:val="17"/>
          <w:lang w:eastAsia="en-GB"/>
        </w:rPr>
      </w:pPr>
      <w:hyperlink w:anchor="_Toc498019408" w:history="1">
        <w:r w:rsidR="007E6A65" w:rsidRPr="000E0C38">
          <w:rPr>
            <w:rStyle w:val="Hyperlink"/>
            <w:rFonts w:cstheme="minorHAnsi"/>
            <w:noProof/>
            <w:sz w:val="17"/>
            <w:szCs w:val="17"/>
          </w:rPr>
          <w:t>4.1 Approach</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_Toc498019408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33</w:t>
        </w:r>
        <w:r w:rsidR="007E6A65" w:rsidRPr="000E0C38">
          <w:rPr>
            <w:rFonts w:cstheme="minorHAnsi"/>
            <w:noProof/>
            <w:webHidden/>
            <w:sz w:val="17"/>
            <w:szCs w:val="17"/>
          </w:rPr>
          <w:fldChar w:fldCharType="end"/>
        </w:r>
      </w:hyperlink>
    </w:p>
    <w:p w14:paraId="0C37F8BB" w14:textId="33382C79" w:rsidR="007E6A65" w:rsidRPr="000E0C38" w:rsidRDefault="006A62B6">
      <w:pPr>
        <w:pStyle w:val="TOC2"/>
        <w:tabs>
          <w:tab w:val="right" w:leader="underscore" w:pos="8790"/>
        </w:tabs>
        <w:rPr>
          <w:rFonts w:cstheme="minorHAnsi"/>
          <w:b w:val="0"/>
          <w:bCs w:val="0"/>
          <w:noProof/>
          <w:sz w:val="17"/>
          <w:szCs w:val="17"/>
          <w:lang w:eastAsia="en-GB"/>
        </w:rPr>
      </w:pPr>
      <w:hyperlink w:anchor="_Toc498019409" w:history="1">
        <w:r w:rsidR="007E6A65" w:rsidRPr="000E0C38">
          <w:rPr>
            <w:rStyle w:val="Hyperlink"/>
            <w:rFonts w:cstheme="minorHAnsi"/>
            <w:noProof/>
            <w:sz w:val="17"/>
            <w:szCs w:val="17"/>
          </w:rPr>
          <w:t>4.1 Returns on investment from construction sector programming</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_Toc498019409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34</w:t>
        </w:r>
        <w:r w:rsidR="007E6A65" w:rsidRPr="000E0C38">
          <w:rPr>
            <w:rFonts w:cstheme="minorHAnsi"/>
            <w:noProof/>
            <w:webHidden/>
            <w:sz w:val="17"/>
            <w:szCs w:val="17"/>
          </w:rPr>
          <w:fldChar w:fldCharType="end"/>
        </w:r>
      </w:hyperlink>
    </w:p>
    <w:p w14:paraId="5A4DE27E" w14:textId="4B6ED89C" w:rsidR="007E6A65" w:rsidRPr="000E0C38" w:rsidRDefault="006A62B6">
      <w:pPr>
        <w:pStyle w:val="TOC2"/>
        <w:tabs>
          <w:tab w:val="right" w:leader="underscore" w:pos="8790"/>
        </w:tabs>
        <w:rPr>
          <w:rFonts w:cstheme="minorHAnsi"/>
          <w:b w:val="0"/>
          <w:bCs w:val="0"/>
          <w:noProof/>
          <w:sz w:val="17"/>
          <w:szCs w:val="17"/>
          <w:lang w:eastAsia="en-GB"/>
        </w:rPr>
      </w:pPr>
      <w:hyperlink w:anchor="_Toc498019410" w:history="1">
        <w:r w:rsidR="007E6A65" w:rsidRPr="000E0C38">
          <w:rPr>
            <w:rStyle w:val="Hyperlink"/>
            <w:rFonts w:cstheme="minorHAnsi"/>
            <w:noProof/>
            <w:sz w:val="17"/>
            <w:szCs w:val="17"/>
          </w:rPr>
          <w:t>4.2 Undertaking VFM assessment on labour market interventions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_Toc498019410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37</w:t>
        </w:r>
        <w:r w:rsidR="007E6A65" w:rsidRPr="000E0C38">
          <w:rPr>
            <w:rFonts w:cstheme="minorHAnsi"/>
            <w:noProof/>
            <w:webHidden/>
            <w:sz w:val="17"/>
            <w:szCs w:val="17"/>
          </w:rPr>
          <w:fldChar w:fldCharType="end"/>
        </w:r>
      </w:hyperlink>
    </w:p>
    <w:p w14:paraId="78F6DD54" w14:textId="6602F293" w:rsidR="007E6A65" w:rsidRPr="000E0C38" w:rsidRDefault="006A62B6">
      <w:pPr>
        <w:pStyle w:val="TOC2"/>
        <w:tabs>
          <w:tab w:val="right" w:leader="underscore" w:pos="8790"/>
        </w:tabs>
        <w:rPr>
          <w:rFonts w:cstheme="minorHAnsi"/>
          <w:b w:val="0"/>
          <w:bCs w:val="0"/>
          <w:noProof/>
          <w:sz w:val="17"/>
          <w:szCs w:val="17"/>
          <w:lang w:eastAsia="en-GB"/>
        </w:rPr>
      </w:pPr>
      <w:hyperlink w:anchor="_Toc498019411" w:history="1">
        <w:r w:rsidR="007E6A65" w:rsidRPr="000E0C38">
          <w:rPr>
            <w:rStyle w:val="Hyperlink"/>
            <w:rFonts w:cstheme="minorHAnsi"/>
            <w:noProof/>
            <w:sz w:val="17"/>
            <w:szCs w:val="17"/>
          </w:rPr>
          <w:t>4.2 Impact of imported labour and supply chain resourcing models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_Toc498019411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38</w:t>
        </w:r>
        <w:r w:rsidR="007E6A65" w:rsidRPr="000E0C38">
          <w:rPr>
            <w:rFonts w:cstheme="minorHAnsi"/>
            <w:noProof/>
            <w:webHidden/>
            <w:sz w:val="17"/>
            <w:szCs w:val="17"/>
          </w:rPr>
          <w:fldChar w:fldCharType="end"/>
        </w:r>
      </w:hyperlink>
    </w:p>
    <w:p w14:paraId="3195CC63" w14:textId="1B6E162E" w:rsidR="007E6A65" w:rsidRPr="000E0C38" w:rsidRDefault="006A62B6">
      <w:pPr>
        <w:pStyle w:val="TOC2"/>
        <w:tabs>
          <w:tab w:val="right" w:leader="underscore" w:pos="8790"/>
        </w:tabs>
        <w:rPr>
          <w:rFonts w:cstheme="minorHAnsi"/>
          <w:b w:val="0"/>
          <w:bCs w:val="0"/>
          <w:noProof/>
          <w:sz w:val="17"/>
          <w:szCs w:val="17"/>
          <w:lang w:eastAsia="en-GB"/>
        </w:rPr>
      </w:pPr>
      <w:hyperlink w:anchor="_Toc498019412" w:history="1">
        <w:r w:rsidR="007E6A65" w:rsidRPr="000E0C38">
          <w:rPr>
            <w:rStyle w:val="Hyperlink"/>
            <w:rFonts w:cstheme="minorHAnsi"/>
            <w:noProof/>
            <w:sz w:val="17"/>
            <w:szCs w:val="17"/>
          </w:rPr>
          <w:t>4.3 Understanding technology and supply chain trends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_Toc498019412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39</w:t>
        </w:r>
        <w:r w:rsidR="007E6A65" w:rsidRPr="000E0C38">
          <w:rPr>
            <w:rFonts w:cstheme="minorHAnsi"/>
            <w:noProof/>
            <w:webHidden/>
            <w:sz w:val="17"/>
            <w:szCs w:val="17"/>
          </w:rPr>
          <w:fldChar w:fldCharType="end"/>
        </w:r>
      </w:hyperlink>
    </w:p>
    <w:p w14:paraId="5ACEC8F5" w14:textId="49536190" w:rsidR="007E6A65" w:rsidRPr="000E0C38" w:rsidRDefault="006A62B6">
      <w:pPr>
        <w:pStyle w:val="TOC2"/>
        <w:tabs>
          <w:tab w:val="right" w:leader="underscore" w:pos="8790"/>
        </w:tabs>
        <w:rPr>
          <w:rFonts w:cstheme="minorHAnsi"/>
          <w:b w:val="0"/>
          <w:bCs w:val="0"/>
          <w:noProof/>
          <w:sz w:val="17"/>
          <w:szCs w:val="17"/>
          <w:lang w:eastAsia="en-GB"/>
        </w:rPr>
      </w:pPr>
      <w:hyperlink w:anchor="_Toc498019413" w:history="1">
        <w:r w:rsidR="007E6A65" w:rsidRPr="000E0C38">
          <w:rPr>
            <w:rStyle w:val="Hyperlink"/>
            <w:rFonts w:cstheme="minorHAnsi"/>
            <w:noProof/>
            <w:sz w:val="17"/>
            <w:szCs w:val="17"/>
          </w:rPr>
          <w:t>4.4 Conclusion: DFID VfM Programming Guidelines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_Toc498019413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40</w:t>
        </w:r>
        <w:r w:rsidR="007E6A65" w:rsidRPr="000E0C38">
          <w:rPr>
            <w:rFonts w:cstheme="minorHAnsi"/>
            <w:noProof/>
            <w:webHidden/>
            <w:sz w:val="17"/>
            <w:szCs w:val="17"/>
          </w:rPr>
          <w:fldChar w:fldCharType="end"/>
        </w:r>
      </w:hyperlink>
    </w:p>
    <w:p w14:paraId="4A00346C" w14:textId="1A13F975" w:rsidR="007E6A65" w:rsidRPr="000E0C38" w:rsidRDefault="006A62B6">
      <w:pPr>
        <w:pStyle w:val="TOC1"/>
        <w:tabs>
          <w:tab w:val="right" w:leader="underscore" w:pos="8790"/>
        </w:tabs>
        <w:rPr>
          <w:rFonts w:cstheme="minorHAnsi"/>
          <w:b w:val="0"/>
          <w:bCs w:val="0"/>
          <w:noProof/>
          <w:sz w:val="17"/>
          <w:szCs w:val="17"/>
          <w:lang w:eastAsia="en-GB"/>
        </w:rPr>
      </w:pPr>
      <w:hyperlink w:anchor="_Toc498019414" w:history="1">
        <w:r w:rsidR="007E6A65" w:rsidRPr="000E0C38">
          <w:rPr>
            <w:rStyle w:val="Hyperlink"/>
            <w:rFonts w:cstheme="minorHAnsi"/>
            <w:noProof/>
            <w:sz w:val="17"/>
            <w:szCs w:val="17"/>
          </w:rPr>
          <w:t>Bibliography</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_Toc498019414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44</w:t>
        </w:r>
        <w:r w:rsidR="007E6A65" w:rsidRPr="000E0C38">
          <w:rPr>
            <w:rFonts w:cstheme="minorHAnsi"/>
            <w:noProof/>
            <w:webHidden/>
            <w:sz w:val="17"/>
            <w:szCs w:val="17"/>
          </w:rPr>
          <w:fldChar w:fldCharType="end"/>
        </w:r>
      </w:hyperlink>
    </w:p>
    <w:p w14:paraId="04E7EFC6" w14:textId="01802BAD" w:rsidR="007E6A65" w:rsidRPr="000E0C38" w:rsidRDefault="006A62B6">
      <w:pPr>
        <w:pStyle w:val="TOC1"/>
        <w:tabs>
          <w:tab w:val="right" w:leader="underscore" w:pos="8790"/>
        </w:tabs>
        <w:rPr>
          <w:rFonts w:cstheme="minorHAnsi"/>
          <w:b w:val="0"/>
          <w:bCs w:val="0"/>
          <w:noProof/>
          <w:sz w:val="17"/>
          <w:szCs w:val="17"/>
          <w:lang w:eastAsia="en-GB"/>
        </w:rPr>
      </w:pPr>
      <w:hyperlink w:anchor="_Toc498019415" w:history="1">
        <w:r w:rsidR="007E6A65" w:rsidRPr="000E0C38">
          <w:rPr>
            <w:rStyle w:val="Hyperlink"/>
            <w:rFonts w:cstheme="minorHAnsi"/>
            <w:noProof/>
            <w:sz w:val="17"/>
            <w:szCs w:val="17"/>
          </w:rPr>
          <w:t>Annex A: Employment in the construction sector in DFID countries of focus</w:t>
        </w:r>
        <w:r w:rsidR="007E6A65" w:rsidRPr="000E0C38">
          <w:rPr>
            <w:rFonts w:cstheme="minorHAnsi"/>
            <w:noProof/>
            <w:webHidden/>
            <w:sz w:val="17"/>
            <w:szCs w:val="17"/>
          </w:rPr>
          <w:tab/>
        </w:r>
        <w:r w:rsidR="007E6A65" w:rsidRPr="000E0C38">
          <w:rPr>
            <w:rFonts w:cstheme="minorHAnsi"/>
            <w:noProof/>
            <w:webHidden/>
            <w:sz w:val="17"/>
            <w:szCs w:val="17"/>
          </w:rPr>
          <w:fldChar w:fldCharType="begin"/>
        </w:r>
        <w:r w:rsidR="007E6A65" w:rsidRPr="000E0C38">
          <w:rPr>
            <w:rFonts w:cstheme="minorHAnsi"/>
            <w:noProof/>
            <w:webHidden/>
            <w:sz w:val="17"/>
            <w:szCs w:val="17"/>
          </w:rPr>
          <w:instrText xml:space="preserve"> PAGEREF _Toc498019415 \h </w:instrText>
        </w:r>
        <w:r w:rsidR="007E6A65" w:rsidRPr="000E0C38">
          <w:rPr>
            <w:rFonts w:cstheme="minorHAnsi"/>
            <w:noProof/>
            <w:webHidden/>
            <w:sz w:val="17"/>
            <w:szCs w:val="17"/>
          </w:rPr>
        </w:r>
        <w:r w:rsidR="007E6A65" w:rsidRPr="000E0C38">
          <w:rPr>
            <w:rFonts w:cstheme="minorHAnsi"/>
            <w:noProof/>
            <w:webHidden/>
            <w:sz w:val="17"/>
            <w:szCs w:val="17"/>
          </w:rPr>
          <w:fldChar w:fldCharType="separate"/>
        </w:r>
        <w:r w:rsidR="00452E90">
          <w:rPr>
            <w:rFonts w:cstheme="minorHAnsi"/>
            <w:noProof/>
            <w:webHidden/>
            <w:sz w:val="17"/>
            <w:szCs w:val="17"/>
          </w:rPr>
          <w:t>49</w:t>
        </w:r>
        <w:r w:rsidR="007E6A65" w:rsidRPr="000E0C38">
          <w:rPr>
            <w:rFonts w:cstheme="minorHAnsi"/>
            <w:noProof/>
            <w:webHidden/>
            <w:sz w:val="17"/>
            <w:szCs w:val="17"/>
          </w:rPr>
          <w:fldChar w:fldCharType="end"/>
        </w:r>
      </w:hyperlink>
    </w:p>
    <w:p w14:paraId="4A8CB4B0" w14:textId="77777777" w:rsidR="00AA7AB1" w:rsidRPr="000E0C38" w:rsidRDefault="00226ED7" w:rsidP="008F4768">
      <w:pPr>
        <w:pStyle w:val="BodyText"/>
        <w:sectPr w:rsidR="00AA7AB1" w:rsidRPr="000E0C38" w:rsidSect="0071379F">
          <w:headerReference w:type="default" r:id="rId13"/>
          <w:footerReference w:type="default" r:id="rId14"/>
          <w:pgSz w:w="11920" w:h="16840"/>
          <w:pgMar w:top="2835" w:right="3698" w:bottom="1440" w:left="1440" w:header="720" w:footer="720" w:gutter="0"/>
          <w:cols w:space="720" w:equalWidth="0">
            <w:col w:w="8800"/>
          </w:cols>
          <w:noEndnote/>
          <w:docGrid w:linePitch="326"/>
        </w:sectPr>
      </w:pPr>
      <w:r w:rsidRPr="000E0C38">
        <w:rPr>
          <w:rFonts w:asciiTheme="minorHAnsi" w:hAnsiTheme="minorHAnsi" w:cstheme="minorHAnsi"/>
          <w:sz w:val="17"/>
          <w:szCs w:val="17"/>
        </w:rPr>
        <w:fldChar w:fldCharType="end"/>
      </w:r>
    </w:p>
    <w:p w14:paraId="12FC9A55" w14:textId="77777777" w:rsidR="00782491" w:rsidRPr="000E0C38" w:rsidRDefault="00EE62A5" w:rsidP="008F4768">
      <w:pPr>
        <w:pStyle w:val="Heading1"/>
        <w:framePr w:w="9878" w:h="813" w:hRule="exact" w:wrap="around" w:y="6"/>
      </w:pPr>
      <w:bookmarkStart w:id="1" w:name="_Toc498019383"/>
      <w:r w:rsidRPr="000E0C38">
        <w:lastRenderedPageBreak/>
        <w:t>Executive summary</w:t>
      </w:r>
      <w:bookmarkEnd w:id="1"/>
    </w:p>
    <w:p w14:paraId="7FB972E9" w14:textId="4DB90F7F" w:rsidR="007C279A" w:rsidRPr="000E0C38" w:rsidRDefault="000C174A" w:rsidP="0077411F">
      <w:pPr>
        <w:pStyle w:val="BodyText"/>
        <w:spacing w:after="120" w:line="276" w:lineRule="auto"/>
        <w:jc w:val="both"/>
      </w:pPr>
      <w:r w:rsidRPr="000E0C38">
        <w:rPr>
          <w:b/>
        </w:rPr>
        <w:t xml:space="preserve">The construction sector in DFID </w:t>
      </w:r>
      <w:r w:rsidR="00FD3A1A" w:rsidRPr="000E0C38">
        <w:rPr>
          <w:b/>
        </w:rPr>
        <w:t>focus</w:t>
      </w:r>
      <w:r w:rsidRPr="000E0C38">
        <w:rPr>
          <w:b/>
        </w:rPr>
        <w:t xml:space="preserve"> countries is important in both economic and employment terms</w:t>
      </w:r>
      <w:r w:rsidR="00FD3A1A" w:rsidRPr="000E0C38">
        <w:rPr>
          <w:b/>
        </w:rPr>
        <w:t>,</w:t>
      </w:r>
      <w:r w:rsidRPr="000E0C38">
        <w:rPr>
          <w:b/>
        </w:rPr>
        <w:t xml:space="preserve"> </w:t>
      </w:r>
      <w:r w:rsidR="00DF6247" w:rsidRPr="000E0C38">
        <w:rPr>
          <w:b/>
        </w:rPr>
        <w:t>a</w:t>
      </w:r>
      <w:r w:rsidR="00A61ED5" w:rsidRPr="000E0C38">
        <w:rPr>
          <w:b/>
        </w:rPr>
        <w:t>nd continues to grow</w:t>
      </w:r>
      <w:r w:rsidR="00FD3A1A" w:rsidRPr="000E0C38">
        <w:rPr>
          <w:b/>
        </w:rPr>
        <w:t xml:space="preserve"> in size</w:t>
      </w:r>
      <w:r w:rsidRPr="000E0C38">
        <w:rPr>
          <w:b/>
        </w:rPr>
        <w:t>.</w:t>
      </w:r>
      <w:r w:rsidRPr="000E0C38">
        <w:t xml:space="preserve"> </w:t>
      </w:r>
      <w:r w:rsidR="007C279A" w:rsidRPr="000E0C38">
        <w:t>The sector</w:t>
      </w:r>
      <w:r w:rsidR="008931C4" w:rsidRPr="000E0C38">
        <w:t xml:space="preserve"> is labour-</w:t>
      </w:r>
      <w:r w:rsidR="007C279A" w:rsidRPr="000E0C38">
        <w:t xml:space="preserve">intensive, </w:t>
      </w:r>
      <w:r w:rsidR="008931C4" w:rsidRPr="000E0C38">
        <w:t xml:space="preserve">currently </w:t>
      </w:r>
      <w:r w:rsidR="007C279A" w:rsidRPr="000E0C38">
        <w:t>employs</w:t>
      </w:r>
      <w:r w:rsidR="008931C4" w:rsidRPr="000E0C38">
        <w:t xml:space="preserve"> more than 70 million workers in DFID countries of focus (around 7.</w:t>
      </w:r>
      <w:r w:rsidR="00000CC0" w:rsidRPr="000E0C38">
        <w:t xml:space="preserve">6 </w:t>
      </w:r>
      <w:r w:rsidR="008931C4" w:rsidRPr="000E0C38">
        <w:t xml:space="preserve">per cent </w:t>
      </w:r>
      <w:r w:rsidR="00FD3A1A" w:rsidRPr="000E0C38">
        <w:t>of total employment)</w:t>
      </w:r>
      <w:r w:rsidR="007C279A" w:rsidRPr="000E0C38">
        <w:t>,</w:t>
      </w:r>
      <w:r w:rsidR="00FD3A1A" w:rsidRPr="000E0C38">
        <w:t xml:space="preserve"> </w:t>
      </w:r>
      <w:r w:rsidR="007C279A" w:rsidRPr="000E0C38">
        <w:t>and</w:t>
      </w:r>
      <w:r w:rsidRPr="000E0C38">
        <w:t xml:space="preserve"> </w:t>
      </w:r>
      <w:r w:rsidR="007C279A" w:rsidRPr="000E0C38">
        <w:t xml:space="preserve">is </w:t>
      </w:r>
      <w:r w:rsidRPr="000E0C38">
        <w:t xml:space="preserve">expected to </w:t>
      </w:r>
      <w:r w:rsidR="00DF6247" w:rsidRPr="000E0C38">
        <w:t>continue to expand</w:t>
      </w:r>
      <w:r w:rsidRPr="000E0C38">
        <w:t>.</w:t>
      </w:r>
      <w:r w:rsidR="007F2539" w:rsidRPr="000E0C38">
        <w:t xml:space="preserve"> There is also</w:t>
      </w:r>
      <w:r w:rsidRPr="000E0C38">
        <w:t xml:space="preserve"> </w:t>
      </w:r>
      <w:r w:rsidR="007F2539" w:rsidRPr="000E0C38">
        <w:t xml:space="preserve">low but growing participation of women (11.2 per cent). </w:t>
      </w:r>
      <w:r w:rsidR="007C279A" w:rsidRPr="000E0C38">
        <w:t>T</w:t>
      </w:r>
      <w:r w:rsidR="00B869EA" w:rsidRPr="000E0C38">
        <w:t xml:space="preserve">he evidence suggests that </w:t>
      </w:r>
      <w:r w:rsidR="007D061B" w:rsidRPr="000E0C38">
        <w:t xml:space="preserve">supporting </w:t>
      </w:r>
      <w:r w:rsidR="00B869EA" w:rsidRPr="000E0C38">
        <w:t>the construction sector is likely to deliver stro</w:t>
      </w:r>
      <w:r w:rsidR="00FD3A1A" w:rsidRPr="000E0C38">
        <w:t>ng economic benefits</w:t>
      </w:r>
      <w:r w:rsidR="007C279A" w:rsidRPr="000E0C38">
        <w:t>, as:</w:t>
      </w:r>
    </w:p>
    <w:p w14:paraId="087A5227" w14:textId="1BFAC6B3" w:rsidR="007C279A" w:rsidRPr="000E0C38" w:rsidRDefault="007C279A" w:rsidP="00831B36">
      <w:pPr>
        <w:pStyle w:val="BodyText"/>
        <w:numPr>
          <w:ilvl w:val="0"/>
          <w:numId w:val="28"/>
        </w:numPr>
        <w:spacing w:after="0"/>
        <w:ind w:left="714" w:hanging="357"/>
      </w:pPr>
      <w:r w:rsidRPr="000E0C38">
        <w:t>The sector is relatively labour-intensive and tends to generate more jobs (direct, indirect and induced) than other sectors</w:t>
      </w:r>
      <w:r w:rsidR="00184AD9" w:rsidRPr="000E0C38">
        <w:t xml:space="preserve"> although this is declining over time in all countries</w:t>
      </w:r>
      <w:r w:rsidR="00991DB7" w:rsidRPr="000E0C38">
        <w:t>;</w:t>
      </w:r>
      <w:r w:rsidR="00AF103E" w:rsidRPr="000E0C38">
        <w:rPr>
          <w:rStyle w:val="FootnoteReference"/>
        </w:rPr>
        <w:footnoteReference w:id="1"/>
      </w:r>
      <w:r w:rsidRPr="000E0C38">
        <w:t xml:space="preserve">  </w:t>
      </w:r>
    </w:p>
    <w:p w14:paraId="57AE5F3C" w14:textId="076893A9" w:rsidR="007C279A" w:rsidRPr="000E0C38" w:rsidRDefault="007C279A" w:rsidP="00831B36">
      <w:pPr>
        <w:pStyle w:val="BodyText"/>
        <w:numPr>
          <w:ilvl w:val="0"/>
          <w:numId w:val="28"/>
        </w:numPr>
        <w:spacing w:after="0"/>
        <w:ind w:left="714" w:hanging="357"/>
      </w:pPr>
      <w:r w:rsidRPr="000E0C38">
        <w:t>The sector</w:t>
      </w:r>
      <w:r w:rsidR="00B869EA" w:rsidRPr="000E0C38">
        <w:t xml:space="preserve"> reports </w:t>
      </w:r>
      <w:r w:rsidR="00B76A05" w:rsidRPr="000E0C38">
        <w:t xml:space="preserve">a </w:t>
      </w:r>
      <w:r w:rsidR="00B869EA" w:rsidRPr="000E0C38">
        <w:t>high level of gross economic output per unit invested</w:t>
      </w:r>
      <w:r w:rsidR="00715C86" w:rsidRPr="000E0C38">
        <w:t xml:space="preserve"> (in excess of 3:1)</w:t>
      </w:r>
      <w:r w:rsidR="002F3679" w:rsidRPr="000E0C38">
        <w:t xml:space="preserve"> across all </w:t>
      </w:r>
      <w:r w:rsidR="00A84C27" w:rsidRPr="000E0C38">
        <w:t xml:space="preserve">levels of </w:t>
      </w:r>
      <w:r w:rsidR="00B76A05" w:rsidRPr="000E0C38">
        <w:t xml:space="preserve">economic </w:t>
      </w:r>
      <w:r w:rsidR="00A84C27" w:rsidRPr="000E0C38">
        <w:t>development (</w:t>
      </w:r>
      <w:r w:rsidR="0067299A" w:rsidRPr="000E0C38">
        <w:t>high-, middle- and low-income countries</w:t>
      </w:r>
      <w:r w:rsidR="00A84C27" w:rsidRPr="000E0C38">
        <w:t>)</w:t>
      </w:r>
      <w:r w:rsidR="00FD3A1A" w:rsidRPr="000E0C38">
        <w:t>;</w:t>
      </w:r>
      <w:r w:rsidR="00B869EA" w:rsidRPr="000E0C38">
        <w:t xml:space="preserve"> </w:t>
      </w:r>
    </w:p>
    <w:p w14:paraId="57885C0F" w14:textId="51F56780" w:rsidR="007C279A" w:rsidRPr="000E0C38" w:rsidRDefault="00715C86" w:rsidP="00831B36">
      <w:pPr>
        <w:pStyle w:val="BodyText"/>
        <w:numPr>
          <w:ilvl w:val="0"/>
          <w:numId w:val="28"/>
        </w:numPr>
        <w:spacing w:after="0"/>
        <w:ind w:left="714" w:hanging="357"/>
      </w:pPr>
      <w:r w:rsidRPr="000E0C38">
        <w:t>Where labour and resource supply chains are</w:t>
      </w:r>
      <w:r w:rsidR="00B869EA" w:rsidRPr="000E0C38">
        <w:t xml:space="preserve"> domestic</w:t>
      </w:r>
      <w:r w:rsidRPr="000E0C38">
        <w:t>ally sourced</w:t>
      </w:r>
      <w:r w:rsidR="00FD3A1A" w:rsidRPr="000E0C38">
        <w:t>,</w:t>
      </w:r>
      <w:r w:rsidR="00B869EA" w:rsidRPr="000E0C38">
        <w:t xml:space="preserve"> economic value is </w:t>
      </w:r>
      <w:r w:rsidR="003E35EB" w:rsidRPr="000E0C38">
        <w:t xml:space="preserve">better </w:t>
      </w:r>
      <w:r w:rsidR="00B869EA" w:rsidRPr="000E0C38">
        <w:t>ca</w:t>
      </w:r>
      <w:r w:rsidR="00707FA3" w:rsidRPr="000E0C38">
        <w:t>ptured in the domestic economy</w:t>
      </w:r>
      <w:r w:rsidR="007C279A" w:rsidRPr="000E0C38">
        <w:t>;</w:t>
      </w:r>
    </w:p>
    <w:p w14:paraId="5DC01873" w14:textId="18A54B43" w:rsidR="000B7927" w:rsidRPr="000E0C38" w:rsidRDefault="007C279A" w:rsidP="00831B36">
      <w:pPr>
        <w:pStyle w:val="BodyText"/>
        <w:numPr>
          <w:ilvl w:val="0"/>
          <w:numId w:val="28"/>
        </w:numPr>
        <w:spacing w:after="0"/>
        <w:ind w:left="714" w:hanging="357"/>
      </w:pPr>
      <w:proofErr w:type="spellStart"/>
      <w:r w:rsidRPr="000E0C38">
        <w:t>S</w:t>
      </w:r>
      <w:r w:rsidR="00B869EA" w:rsidRPr="000E0C38">
        <w:t>pillover</w:t>
      </w:r>
      <w:proofErr w:type="spellEnd"/>
      <w:r w:rsidR="00B869EA" w:rsidRPr="000E0C38">
        <w:t xml:space="preserve"> effects </w:t>
      </w:r>
      <w:r w:rsidR="008C53BB" w:rsidRPr="000E0C38">
        <w:t xml:space="preserve">associated with </w:t>
      </w:r>
      <w:r w:rsidR="003F4BAB" w:rsidRPr="000E0C38">
        <w:t xml:space="preserve">construction </w:t>
      </w:r>
      <w:r w:rsidR="007D061B" w:rsidRPr="000E0C38">
        <w:t xml:space="preserve">can </w:t>
      </w:r>
      <w:r w:rsidR="00B869EA" w:rsidRPr="000E0C38">
        <w:t xml:space="preserve">play a significant role in </w:t>
      </w:r>
      <w:r w:rsidRPr="000E0C38">
        <w:t xml:space="preserve">the development of the wider economy </w:t>
      </w:r>
      <w:r w:rsidR="00B869EA" w:rsidRPr="000E0C38">
        <w:t xml:space="preserve">(e.g. </w:t>
      </w:r>
      <w:r w:rsidR="00B8255C" w:rsidRPr="000E0C38">
        <w:t xml:space="preserve">growth </w:t>
      </w:r>
      <w:r w:rsidR="00FD3A1A" w:rsidRPr="000E0C38">
        <w:t>in services</w:t>
      </w:r>
      <w:r w:rsidR="003F4BAB" w:rsidRPr="000E0C38">
        <w:t>, health, education</w:t>
      </w:r>
      <w:r w:rsidR="00FD3A1A" w:rsidRPr="000E0C38">
        <w:t>)</w:t>
      </w:r>
      <w:r w:rsidR="003E35EB" w:rsidRPr="000E0C38">
        <w:t>, and</w:t>
      </w:r>
      <w:r w:rsidR="0067299A" w:rsidRPr="000E0C38">
        <w:t>;</w:t>
      </w:r>
    </w:p>
    <w:p w14:paraId="25408E6E" w14:textId="38F39647" w:rsidR="007C279A" w:rsidRPr="000E0C38" w:rsidRDefault="000B7927" w:rsidP="00831B36">
      <w:pPr>
        <w:pStyle w:val="BodyText"/>
        <w:numPr>
          <w:ilvl w:val="0"/>
          <w:numId w:val="28"/>
        </w:numPr>
        <w:spacing w:after="120"/>
      </w:pPr>
      <w:r w:rsidRPr="000E0C38">
        <w:t>Investment in the sector and its supply chain can provide an economic stimulus during periods of economic downturn, and can make an important contribution to poverty alleviation.</w:t>
      </w:r>
    </w:p>
    <w:p w14:paraId="686FCD06" w14:textId="20D0EA4F" w:rsidR="007F2539" w:rsidRPr="000E0C38" w:rsidRDefault="007F2539" w:rsidP="00432BEF">
      <w:pPr>
        <w:pStyle w:val="BodyText"/>
        <w:tabs>
          <w:tab w:val="left" w:pos="2830"/>
        </w:tabs>
        <w:spacing w:after="120" w:line="276" w:lineRule="auto"/>
        <w:jc w:val="both"/>
      </w:pPr>
      <w:r w:rsidRPr="000E0C38">
        <w:rPr>
          <w:b/>
        </w:rPr>
        <w:t>Employment practices within the construction sector are weak in DFID focus countries, however.</w:t>
      </w:r>
      <w:r w:rsidRPr="000E0C38">
        <w:t xml:space="preserve"> Challenges in the sector include </w:t>
      </w:r>
      <w:r w:rsidRPr="000E0C38">
        <w:rPr>
          <w:i/>
        </w:rPr>
        <w:t>high informality</w:t>
      </w:r>
      <w:r w:rsidRPr="000E0C38">
        <w:t xml:space="preserve"> (76.5 per cent) with the proliferation of non-standard forms of employment (including part-time, casual and temporary contracts), a </w:t>
      </w:r>
      <w:r w:rsidRPr="000E0C38">
        <w:rPr>
          <w:i/>
        </w:rPr>
        <w:t>poor safety and health record</w:t>
      </w:r>
      <w:r w:rsidRPr="000E0C38">
        <w:t xml:space="preserve">, the </w:t>
      </w:r>
      <w:r w:rsidRPr="000E0C38">
        <w:rPr>
          <w:i/>
        </w:rPr>
        <w:t>presence of child and forced labour</w:t>
      </w:r>
      <w:r w:rsidRPr="000E0C38">
        <w:t xml:space="preserve"> in material supply chains (such as</w:t>
      </w:r>
      <w:r w:rsidR="00AF766B" w:rsidRPr="000E0C38">
        <w:t xml:space="preserve"> brick kiln and stone quarrying</w:t>
      </w:r>
      <w:r w:rsidRPr="000E0C38">
        <w:t xml:space="preserve">), a </w:t>
      </w:r>
      <w:r w:rsidRPr="000E0C38">
        <w:rPr>
          <w:i/>
        </w:rPr>
        <w:t>lack of social protection benefits</w:t>
      </w:r>
      <w:r w:rsidRPr="000E0C38">
        <w:t xml:space="preserve"> (such as pension schemes, maternity leave, and unemployment benefits) that are often correlated with poverty and vulnerability, and </w:t>
      </w:r>
      <w:r w:rsidRPr="000E0C38">
        <w:rPr>
          <w:i/>
        </w:rPr>
        <w:t>significant skills shortages</w:t>
      </w:r>
      <w:r w:rsidRPr="000E0C38">
        <w:t xml:space="preserve"> that affect sector productivity and can indirectly contribute to lower wages and slower economic growth. The extent to which each country is affected requires a more granular level of understanding than is currently available in international data sets, particularly in LICs.</w:t>
      </w:r>
    </w:p>
    <w:p w14:paraId="6164205C" w14:textId="28E03865" w:rsidR="00184AD9" w:rsidRPr="000E0C38" w:rsidRDefault="00381BD3" w:rsidP="00432BEF">
      <w:pPr>
        <w:pStyle w:val="BodyText"/>
        <w:spacing w:after="120"/>
      </w:pPr>
      <w:r w:rsidRPr="000E0C38">
        <w:rPr>
          <w:b/>
        </w:rPr>
        <w:t>In deciding w</w:t>
      </w:r>
      <w:r w:rsidR="00C922F2" w:rsidRPr="000E0C38">
        <w:rPr>
          <w:b/>
        </w:rPr>
        <w:t xml:space="preserve">hether and how to engage with the construction sector, there are a number of dependencies </w:t>
      </w:r>
      <w:r w:rsidR="007F2539" w:rsidRPr="000E0C38">
        <w:rPr>
          <w:b/>
        </w:rPr>
        <w:t xml:space="preserve">to consider and key questions </w:t>
      </w:r>
      <w:r w:rsidRPr="000E0C38">
        <w:rPr>
          <w:b/>
        </w:rPr>
        <w:t>to answer</w:t>
      </w:r>
      <w:r w:rsidR="00C922F2" w:rsidRPr="000E0C38">
        <w:rPr>
          <w:b/>
        </w:rPr>
        <w:t>.</w:t>
      </w:r>
      <w:r w:rsidR="00184AD9" w:rsidRPr="000E0C38">
        <w:t xml:space="preserve"> </w:t>
      </w:r>
      <w:r w:rsidR="007F2539" w:rsidRPr="000E0C38">
        <w:t>These are outlined in the figure below</w:t>
      </w:r>
      <w:r w:rsidR="00EF6248" w:rsidRPr="000E0C38">
        <w:t>:</w:t>
      </w:r>
    </w:p>
    <w:p w14:paraId="36ED813A" w14:textId="77777777" w:rsidR="00D02907" w:rsidRDefault="00C922F2" w:rsidP="00987F10">
      <w:pPr>
        <w:pStyle w:val="BodyText"/>
        <w:spacing w:after="0"/>
      </w:pPr>
      <w:r w:rsidRPr="000E0C38">
        <w:rPr>
          <w:noProof/>
          <w:lang w:eastAsia="en-GB"/>
        </w:rPr>
        <w:drawing>
          <wp:inline distT="0" distB="0" distL="0" distR="0" wp14:anchorId="348B2B20" wp14:editId="41030797">
            <wp:extent cx="5013364" cy="306558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3928" cy="3072045"/>
                    </a:xfrm>
                    <a:prstGeom prst="rect">
                      <a:avLst/>
                    </a:prstGeom>
                    <a:noFill/>
                  </pic:spPr>
                </pic:pic>
              </a:graphicData>
            </a:graphic>
          </wp:inline>
        </w:drawing>
      </w:r>
    </w:p>
    <w:p w14:paraId="0024A6BF" w14:textId="340BB662" w:rsidR="00EF6248" w:rsidRPr="000E0C38" w:rsidRDefault="0040531D" w:rsidP="00432BEF">
      <w:pPr>
        <w:pStyle w:val="BodyText"/>
        <w:spacing w:after="120"/>
      </w:pPr>
      <w:r w:rsidRPr="000E0C38">
        <w:t>However, t</w:t>
      </w:r>
      <w:r w:rsidR="00EB0C37" w:rsidRPr="000E0C38">
        <w:t xml:space="preserve">he </w:t>
      </w:r>
      <w:r w:rsidRPr="000E0C38">
        <w:t>report</w:t>
      </w:r>
      <w:r w:rsidR="00EB0C37" w:rsidRPr="000E0C38">
        <w:t xml:space="preserve"> finds</w:t>
      </w:r>
      <w:r w:rsidR="006E7F09">
        <w:t xml:space="preserve"> that there is</w:t>
      </w:r>
      <w:r w:rsidR="00EB0C37" w:rsidRPr="000E0C38">
        <w:t xml:space="preserve"> </w:t>
      </w:r>
      <w:r w:rsidRPr="000E0C38">
        <w:t>only limited availability</w:t>
      </w:r>
      <w:r w:rsidR="00B76A05" w:rsidRPr="000E0C38">
        <w:t xml:space="preserve"> of </w:t>
      </w:r>
      <w:r w:rsidR="00EF6248" w:rsidRPr="000E0C38">
        <w:t xml:space="preserve">indicators and </w:t>
      </w:r>
      <w:r w:rsidR="00EB0C37" w:rsidRPr="000E0C38">
        <w:t>evidence</w:t>
      </w:r>
      <w:r w:rsidR="00EF6248" w:rsidRPr="000E0C38">
        <w:t xml:space="preserve"> </w:t>
      </w:r>
      <w:r w:rsidRPr="000E0C38">
        <w:t xml:space="preserve">in global data sets (e.g. ILO, World Bank) </w:t>
      </w:r>
      <w:r w:rsidR="00B76A05" w:rsidRPr="000E0C38">
        <w:t>that might usefully inform programming decisions at the country level</w:t>
      </w:r>
      <w:r w:rsidR="0053299E" w:rsidRPr="000E0C38">
        <w:t xml:space="preserve"> (particularly </w:t>
      </w:r>
      <w:r w:rsidR="0053299E" w:rsidRPr="000E0C38">
        <w:lastRenderedPageBreak/>
        <w:t>for LICs)</w:t>
      </w:r>
      <w:r w:rsidR="00B76A05" w:rsidRPr="000E0C38">
        <w:t xml:space="preserve">. </w:t>
      </w:r>
      <w:r w:rsidR="00D5037F" w:rsidRPr="000E0C38">
        <w:t xml:space="preserve">For example, data on the share of economy represented by construction is not disaggregated within the World Development Indicators, which is split only by services and industry. </w:t>
      </w:r>
      <w:r w:rsidR="00EB0C37" w:rsidRPr="000E0C38">
        <w:t xml:space="preserve">While the ILO provides some insight into the nature of labour market issues by country, </w:t>
      </w:r>
      <w:r w:rsidR="00B76A05" w:rsidRPr="000E0C38">
        <w:t xml:space="preserve">contextual </w:t>
      </w:r>
      <w:r w:rsidR="00EB0C37" w:rsidRPr="000E0C38">
        <w:t xml:space="preserve">information on </w:t>
      </w:r>
      <w:r w:rsidR="00B76A05" w:rsidRPr="000E0C38">
        <w:t xml:space="preserve">the underlying causes and </w:t>
      </w:r>
      <w:r w:rsidR="003F4BAB" w:rsidRPr="000E0C38">
        <w:t>constraints</w:t>
      </w:r>
      <w:r w:rsidR="0067299A" w:rsidRPr="000E0C38">
        <w:t xml:space="preserve"> is limited</w:t>
      </w:r>
      <w:r w:rsidR="00D5037F" w:rsidRPr="000E0C38">
        <w:t xml:space="preserve">. </w:t>
      </w:r>
      <w:r w:rsidR="003F4BAB" w:rsidRPr="000E0C38">
        <w:t xml:space="preserve">Economic linkages between </w:t>
      </w:r>
      <w:r w:rsidR="00B76A05" w:rsidRPr="000E0C38">
        <w:t xml:space="preserve">construction and </w:t>
      </w:r>
      <w:r w:rsidR="00EB0C37" w:rsidRPr="000E0C38">
        <w:t>other sectors</w:t>
      </w:r>
      <w:r w:rsidR="006E7F09">
        <w:t>,</w:t>
      </w:r>
      <w:r w:rsidR="00EB0C37" w:rsidRPr="000E0C38">
        <w:t xml:space="preserve"> and </w:t>
      </w:r>
      <w:r w:rsidR="003F4BAB" w:rsidRPr="000E0C38">
        <w:t xml:space="preserve">the potential </w:t>
      </w:r>
      <w:r w:rsidR="00EB0C37" w:rsidRPr="000E0C38">
        <w:t>opportunity costs associated with investing in construction</w:t>
      </w:r>
      <w:r w:rsidR="0067299A" w:rsidRPr="000E0C38">
        <w:t>,</w:t>
      </w:r>
      <w:r w:rsidR="00EB0C37" w:rsidRPr="000E0C38">
        <w:t xml:space="preserve"> can only be understood through more detailed country</w:t>
      </w:r>
      <w:r w:rsidR="00FB4CA1" w:rsidRPr="000E0C38">
        <w:t>-</w:t>
      </w:r>
      <w:r w:rsidR="00EB0C37" w:rsidRPr="000E0C38">
        <w:t>level analysis</w:t>
      </w:r>
      <w:r w:rsidR="003F4BAB" w:rsidRPr="000E0C38">
        <w:t>, a review of locally available data</w:t>
      </w:r>
      <w:r w:rsidR="00EB0C37" w:rsidRPr="000E0C38">
        <w:t xml:space="preserve"> and stakeholder interviews.</w:t>
      </w:r>
    </w:p>
    <w:p w14:paraId="37871000" w14:textId="6B07B8ED" w:rsidR="007D061B" w:rsidRPr="000E0C38" w:rsidRDefault="00B51CFB" w:rsidP="00432BEF">
      <w:pPr>
        <w:pStyle w:val="BodyText"/>
        <w:spacing w:after="120"/>
      </w:pPr>
      <w:r w:rsidRPr="000E0C38">
        <w:rPr>
          <w:b/>
        </w:rPr>
        <w:t>C</w:t>
      </w:r>
      <w:r w:rsidR="00381BD3" w:rsidRPr="000E0C38">
        <w:rPr>
          <w:b/>
        </w:rPr>
        <w:t xml:space="preserve">are should be taken to ensure that interventions to </w:t>
      </w:r>
      <w:r w:rsidRPr="000E0C38">
        <w:rPr>
          <w:b/>
        </w:rPr>
        <w:t>rai</w:t>
      </w:r>
      <w:r w:rsidR="00381BD3" w:rsidRPr="000E0C38">
        <w:rPr>
          <w:b/>
        </w:rPr>
        <w:t>se employment in the construction sector are sustainable, and supported by growth in aggregate construction demand within the economy.</w:t>
      </w:r>
      <w:r w:rsidR="00381BD3" w:rsidRPr="000E0C38">
        <w:t xml:space="preserve"> Key considerations </w:t>
      </w:r>
      <w:r w:rsidRPr="000E0C38">
        <w:t xml:space="preserve">also </w:t>
      </w:r>
      <w:r w:rsidR="00381BD3" w:rsidRPr="000E0C38">
        <w:t>include whether</w:t>
      </w:r>
      <w:r w:rsidR="007D061B" w:rsidRPr="000E0C38">
        <w:t xml:space="preserve"> engaging to improve standards of employment deliver benefits to significant numbers of marginalised or exploited workers</w:t>
      </w:r>
      <w:r w:rsidRPr="000E0C38">
        <w:t>,</w:t>
      </w:r>
      <w:r w:rsidR="00381BD3" w:rsidRPr="000E0C38">
        <w:t xml:space="preserve"> and whether</w:t>
      </w:r>
      <w:r w:rsidR="007D061B" w:rsidRPr="000E0C38">
        <w:t xml:space="preserve"> the lack of domestic capacity to deliver high quality and </w:t>
      </w:r>
      <w:r w:rsidR="0079366D" w:rsidRPr="000E0C38">
        <w:t>cost-effective</w:t>
      </w:r>
      <w:r w:rsidR="007D061B" w:rsidRPr="000E0C38">
        <w:t xml:space="preserve"> infrastructure </w:t>
      </w:r>
      <w:r w:rsidR="00381BD3" w:rsidRPr="000E0C38">
        <w:t xml:space="preserve">is </w:t>
      </w:r>
      <w:r w:rsidR="007D061B" w:rsidRPr="000E0C38">
        <w:t>limiting the enabling economic benefits of improved transport, power or other services</w:t>
      </w:r>
      <w:r w:rsidRPr="000E0C38">
        <w:t>. Where labour and materials are heavily import dependent, engagement in the domestic market may not be as effective as other m</w:t>
      </w:r>
      <w:r w:rsidR="006E7F09">
        <w:t>odels (e.g. engaging with MNC</w:t>
      </w:r>
      <w:r w:rsidRPr="000E0C38">
        <w:t>s). Meanwhile</w:t>
      </w:r>
      <w:r w:rsidR="007D061B" w:rsidRPr="000E0C38">
        <w:t>, FCAS states may benefit from the direct investment in basic services provision,</w:t>
      </w:r>
      <w:r w:rsidR="0079366D" w:rsidRPr="000E0C38">
        <w:t xml:space="preserve"> or in social protection</w:t>
      </w:r>
      <w:r w:rsidR="007D061B" w:rsidRPr="000E0C38">
        <w:t xml:space="preserve"> rather than the quality of the </w:t>
      </w:r>
      <w:r w:rsidR="0079366D" w:rsidRPr="000E0C38">
        <w:t xml:space="preserve">construction </w:t>
      </w:r>
      <w:r w:rsidR="007D061B" w:rsidRPr="000E0C38">
        <w:t>supply chain.</w:t>
      </w:r>
      <w:r w:rsidRPr="000E0C38">
        <w:t xml:space="preserve"> </w:t>
      </w:r>
    </w:p>
    <w:p w14:paraId="3F7BCEE4" w14:textId="70DE9D55" w:rsidR="00B51CFB" w:rsidRPr="000E0C38" w:rsidRDefault="00B51CFB" w:rsidP="00B51CFB">
      <w:pPr>
        <w:pStyle w:val="BodyText"/>
        <w:tabs>
          <w:tab w:val="left" w:pos="2830"/>
        </w:tabs>
        <w:spacing w:after="120" w:line="276" w:lineRule="auto"/>
        <w:jc w:val="both"/>
      </w:pPr>
      <w:r w:rsidRPr="000E0C38">
        <w:rPr>
          <w:b/>
        </w:rPr>
        <w:t>Identifying suitable interventions requires a comprehensive understanding of the political economy.</w:t>
      </w:r>
      <w:r w:rsidRPr="000E0C38">
        <w:t xml:space="preserve"> The report presents a number of potential types of engagement for addressing identified challenges. However, these engagements must be tailored to the particular country context. For example, the structure of the construction industry in DFID focus countries is often not conducive to collective bargaining and union density (due to the high prevalence of informal and casual workers and micro-enterprises). In these countries, it may be better to promote more inclusive forms of social dialogue (e.g. associations of informal workers and micro-enterprises, and the promotion of linkages between workers and employers’ associations). </w:t>
      </w:r>
    </w:p>
    <w:p w14:paraId="66888921" w14:textId="72A64F92" w:rsidR="0011770A" w:rsidRPr="000E0C38" w:rsidRDefault="00B51CFB" w:rsidP="008F4768">
      <w:pPr>
        <w:pStyle w:val="BodyText"/>
        <w:spacing w:after="120" w:line="276" w:lineRule="auto"/>
        <w:jc w:val="both"/>
      </w:pPr>
      <w:r w:rsidRPr="000E0C38">
        <w:rPr>
          <w:b/>
        </w:rPr>
        <w:t>G</w:t>
      </w:r>
      <w:r w:rsidR="0030469A" w:rsidRPr="000E0C38">
        <w:rPr>
          <w:b/>
        </w:rPr>
        <w:t>ood</w:t>
      </w:r>
      <w:r w:rsidR="00563E89" w:rsidRPr="000E0C38">
        <w:rPr>
          <w:b/>
        </w:rPr>
        <w:t xml:space="preserve"> practice</w:t>
      </w:r>
      <w:r w:rsidR="00561AD0" w:rsidRPr="000E0C38">
        <w:rPr>
          <w:b/>
        </w:rPr>
        <w:t xml:space="preserve"> programmes </w:t>
      </w:r>
      <w:r w:rsidR="0011770A" w:rsidRPr="000E0C38">
        <w:rPr>
          <w:b/>
        </w:rPr>
        <w:t xml:space="preserve">exist </w:t>
      </w:r>
      <w:r w:rsidR="00561AD0" w:rsidRPr="000E0C38">
        <w:rPr>
          <w:b/>
        </w:rPr>
        <w:t xml:space="preserve">in </w:t>
      </w:r>
      <w:r w:rsidR="0011770A" w:rsidRPr="000E0C38">
        <w:rPr>
          <w:b/>
        </w:rPr>
        <w:t xml:space="preserve">several </w:t>
      </w:r>
      <w:r w:rsidR="00561AD0" w:rsidRPr="000E0C38">
        <w:rPr>
          <w:b/>
        </w:rPr>
        <w:t>developing countries</w:t>
      </w:r>
      <w:r w:rsidR="008C53BB" w:rsidRPr="000E0C38">
        <w:rPr>
          <w:b/>
        </w:rPr>
        <w:t xml:space="preserve"> from which lessons can be learnt as to how poor employment practices in the sector can be addressed</w:t>
      </w:r>
      <w:r w:rsidR="00B8255C" w:rsidRPr="000E0C38">
        <w:t>.</w:t>
      </w:r>
      <w:r w:rsidR="0011770A" w:rsidRPr="000E0C38">
        <w:t xml:space="preserve"> </w:t>
      </w:r>
      <w:r w:rsidRPr="000E0C38">
        <w:t>For example, market growth and consolidation can support the dynamic towards greater formalisation and improved supply chain standards. Yet rapid market growth can also exacerbate challenges (e.g. around skills and safety), requiring additional institutional and regulatory support. The report identifies a range of potential programming interventions</w:t>
      </w:r>
      <w:r w:rsidR="00C52EB3" w:rsidRPr="000E0C38">
        <w:t xml:space="preserve"> that can help address construction </w:t>
      </w:r>
      <w:r w:rsidR="00066F4B" w:rsidRPr="000E0C38">
        <w:t>employment</w:t>
      </w:r>
      <w:r w:rsidR="00C52EB3" w:rsidRPr="000E0C38">
        <w:t xml:space="preserve"> issues</w:t>
      </w:r>
      <w:r w:rsidR="0011770A" w:rsidRPr="000E0C38">
        <w:t xml:space="preserve">, </w:t>
      </w:r>
      <w:r w:rsidRPr="000E0C38">
        <w:t>including</w:t>
      </w:r>
      <w:r w:rsidR="00C52EB3" w:rsidRPr="000E0C38">
        <w:t xml:space="preserve"> programmes on</w:t>
      </w:r>
      <w:r w:rsidR="0011770A" w:rsidRPr="000E0C38">
        <w:t>:</w:t>
      </w:r>
    </w:p>
    <w:p w14:paraId="1F01951A" w14:textId="77777777" w:rsidR="0011770A" w:rsidRPr="000E0C38" w:rsidRDefault="0011770A" w:rsidP="00831B36">
      <w:pPr>
        <w:pStyle w:val="BodyText"/>
        <w:numPr>
          <w:ilvl w:val="0"/>
          <w:numId w:val="17"/>
        </w:numPr>
        <w:spacing w:after="0" w:line="276" w:lineRule="auto"/>
        <w:ind w:left="709" w:hanging="284"/>
        <w:jc w:val="both"/>
      </w:pPr>
      <w:r w:rsidRPr="000E0C38">
        <w:t>Women’s</w:t>
      </w:r>
      <w:r w:rsidR="00C52EB3" w:rsidRPr="000E0C38">
        <w:t xml:space="preserve"> participation in the construction industry</w:t>
      </w:r>
      <w:r w:rsidRPr="000E0C38">
        <w:t>.</w:t>
      </w:r>
    </w:p>
    <w:p w14:paraId="1AC1BF52" w14:textId="77777777" w:rsidR="0011770A" w:rsidRPr="000E0C38" w:rsidRDefault="0011770A" w:rsidP="00831B36">
      <w:pPr>
        <w:pStyle w:val="BodyText"/>
        <w:numPr>
          <w:ilvl w:val="0"/>
          <w:numId w:val="17"/>
        </w:numPr>
        <w:spacing w:after="0" w:line="276" w:lineRule="auto"/>
        <w:ind w:left="709" w:hanging="284"/>
        <w:jc w:val="both"/>
      </w:pPr>
      <w:r w:rsidRPr="000E0C38">
        <w:t>M</w:t>
      </w:r>
      <w:r w:rsidR="00C52EB3" w:rsidRPr="000E0C38">
        <w:t>obilising engagement with foreign contractors</w:t>
      </w:r>
      <w:r w:rsidRPr="000E0C38">
        <w:t>.</w:t>
      </w:r>
    </w:p>
    <w:p w14:paraId="15D55B19" w14:textId="77777777" w:rsidR="0011770A" w:rsidRPr="000E0C38" w:rsidRDefault="0011770A" w:rsidP="00831B36">
      <w:pPr>
        <w:pStyle w:val="BodyText"/>
        <w:numPr>
          <w:ilvl w:val="0"/>
          <w:numId w:val="17"/>
        </w:numPr>
        <w:spacing w:after="0" w:line="276" w:lineRule="auto"/>
        <w:ind w:left="709" w:hanging="284"/>
        <w:jc w:val="both"/>
      </w:pPr>
      <w:r w:rsidRPr="000E0C38">
        <w:t>I</w:t>
      </w:r>
      <w:r w:rsidR="00C52EB3" w:rsidRPr="000E0C38">
        <w:t>ncreasing formality</w:t>
      </w:r>
      <w:r w:rsidRPr="000E0C38">
        <w:t>.</w:t>
      </w:r>
    </w:p>
    <w:p w14:paraId="35148B4D" w14:textId="77777777" w:rsidR="0011770A" w:rsidRPr="000E0C38" w:rsidRDefault="0011770A" w:rsidP="00831B36">
      <w:pPr>
        <w:pStyle w:val="BodyText"/>
        <w:numPr>
          <w:ilvl w:val="0"/>
          <w:numId w:val="17"/>
        </w:numPr>
        <w:spacing w:after="0" w:line="276" w:lineRule="auto"/>
        <w:ind w:left="709" w:hanging="284"/>
        <w:jc w:val="both"/>
      </w:pPr>
      <w:r w:rsidRPr="000E0C38">
        <w:t>S</w:t>
      </w:r>
      <w:r w:rsidR="00C52EB3" w:rsidRPr="000E0C38">
        <w:t>trengthening Occupational Safety and Health (OSH) approaches</w:t>
      </w:r>
      <w:r w:rsidRPr="000E0C38">
        <w:t>.</w:t>
      </w:r>
    </w:p>
    <w:p w14:paraId="7030CBCE" w14:textId="77777777" w:rsidR="0011770A" w:rsidRPr="000E0C38" w:rsidRDefault="0011770A" w:rsidP="00831B36">
      <w:pPr>
        <w:pStyle w:val="BodyText"/>
        <w:numPr>
          <w:ilvl w:val="0"/>
          <w:numId w:val="17"/>
        </w:numPr>
        <w:spacing w:after="0" w:line="276" w:lineRule="auto"/>
        <w:ind w:left="709" w:hanging="284"/>
        <w:jc w:val="both"/>
      </w:pPr>
      <w:r w:rsidRPr="000E0C38">
        <w:t>R</w:t>
      </w:r>
      <w:r w:rsidR="00561AD0" w:rsidRPr="000E0C38">
        <w:t>educing child labour</w:t>
      </w:r>
      <w:r w:rsidRPr="000E0C38">
        <w:t>.</w:t>
      </w:r>
    </w:p>
    <w:p w14:paraId="1B079EF1" w14:textId="77777777" w:rsidR="008931C4" w:rsidRPr="000E0C38" w:rsidRDefault="0011770A" w:rsidP="00831B36">
      <w:pPr>
        <w:pStyle w:val="BodyText"/>
        <w:numPr>
          <w:ilvl w:val="0"/>
          <w:numId w:val="17"/>
        </w:numPr>
        <w:spacing w:after="120" w:line="276" w:lineRule="auto"/>
        <w:ind w:left="709" w:hanging="284"/>
        <w:jc w:val="both"/>
      </w:pPr>
      <w:r w:rsidRPr="000E0C38">
        <w:t>I</w:t>
      </w:r>
      <w:r w:rsidR="00561AD0" w:rsidRPr="000E0C38">
        <w:t>mproving the provision of training to fill skills gaps and address some of the above challenges.</w:t>
      </w:r>
      <w:r w:rsidR="00C52EB3" w:rsidRPr="000E0C38">
        <w:t xml:space="preserve"> </w:t>
      </w:r>
      <w:r w:rsidR="00B8255C" w:rsidRPr="000E0C38">
        <w:t xml:space="preserve">  </w:t>
      </w:r>
    </w:p>
    <w:p w14:paraId="7542DB48" w14:textId="5C4993A6" w:rsidR="00CD0F0E" w:rsidRPr="000E0C38" w:rsidRDefault="00CD0F0E" w:rsidP="008F4768">
      <w:pPr>
        <w:pStyle w:val="BodyText"/>
        <w:tabs>
          <w:tab w:val="left" w:pos="2830"/>
        </w:tabs>
        <w:spacing w:after="120" w:line="276" w:lineRule="auto"/>
        <w:jc w:val="both"/>
      </w:pPr>
      <w:r w:rsidRPr="000E0C38">
        <w:rPr>
          <w:b/>
        </w:rPr>
        <w:t xml:space="preserve">Interventions that integrate </w:t>
      </w:r>
      <w:r w:rsidR="007D60EB" w:rsidRPr="000E0C38">
        <w:rPr>
          <w:b/>
        </w:rPr>
        <w:t xml:space="preserve">a broad range of </w:t>
      </w:r>
      <w:r w:rsidR="001D3F86" w:rsidRPr="000E0C38">
        <w:rPr>
          <w:b/>
        </w:rPr>
        <w:t xml:space="preserve">activities </w:t>
      </w:r>
      <w:r w:rsidRPr="000E0C38">
        <w:rPr>
          <w:b/>
        </w:rPr>
        <w:t xml:space="preserve">at multiple levels </w:t>
      </w:r>
      <w:r w:rsidR="007D60EB" w:rsidRPr="000E0C38">
        <w:rPr>
          <w:b/>
        </w:rPr>
        <w:t xml:space="preserve">(pilots, policy, market linkages) </w:t>
      </w:r>
      <w:r w:rsidRPr="000E0C38">
        <w:rPr>
          <w:b/>
        </w:rPr>
        <w:t>are more likely to be successful</w:t>
      </w:r>
      <w:r w:rsidR="00B869EA" w:rsidRPr="000E0C38">
        <w:rPr>
          <w:b/>
        </w:rPr>
        <w:t>.</w:t>
      </w:r>
      <w:r w:rsidR="001D3F86" w:rsidRPr="000E0C38">
        <w:t xml:space="preserve"> </w:t>
      </w:r>
      <w:r w:rsidR="0077411F" w:rsidRPr="000E0C38">
        <w:t>Ma</w:t>
      </w:r>
      <w:r w:rsidR="00B453C1" w:rsidRPr="000E0C38">
        <w:t>rket and political economy challenges that can undermine efforts to reform construction markets include a focus on lower costs, ever increasing informality, the oversupply of cheap unskilled labour and capacity issues among employers and regulators.</w:t>
      </w:r>
      <w:r w:rsidR="0077411F" w:rsidRPr="000E0C38">
        <w:t xml:space="preserve"> </w:t>
      </w:r>
      <w:r w:rsidRPr="000E0C38">
        <w:t>Evidence from existing programming indicates benefits from engaging simultaneously across a range of a</w:t>
      </w:r>
      <w:r w:rsidR="001D3F86" w:rsidRPr="000E0C38">
        <w:t xml:space="preserve">ppropriate intervention areas. </w:t>
      </w:r>
      <w:r w:rsidRPr="000E0C38">
        <w:t xml:space="preserve">This </w:t>
      </w:r>
      <w:r w:rsidR="001D3F86" w:rsidRPr="000E0C38">
        <w:t>allows</w:t>
      </w:r>
      <w:r w:rsidRPr="000E0C38">
        <w:t xml:space="preserve"> programming risk diversification, </w:t>
      </w:r>
      <w:r w:rsidR="001D3F86" w:rsidRPr="000E0C38">
        <w:t>and</w:t>
      </w:r>
      <w:r w:rsidRPr="000E0C38">
        <w:t xml:space="preserve"> also </w:t>
      </w:r>
      <w:r w:rsidR="001D3F86" w:rsidRPr="000E0C38">
        <w:t>promotes</w:t>
      </w:r>
      <w:r w:rsidRPr="000E0C38">
        <w:t xml:space="preserve"> cross-learning </w:t>
      </w:r>
      <w:r w:rsidR="001D3F86" w:rsidRPr="000E0C38">
        <w:t xml:space="preserve">and synergies. </w:t>
      </w:r>
      <w:r w:rsidRPr="000E0C38">
        <w:t>The most successful construction sector programmes seek to combine demonstration initiatives (e.g. specific job creation or improvement activities) with scale-up approaches (either through regulators, construction industry associat</w:t>
      </w:r>
      <w:r w:rsidR="001D3F86" w:rsidRPr="000E0C38">
        <w:t xml:space="preserve">ions, or other sector bodies). </w:t>
      </w:r>
      <w:r w:rsidR="007A6FF2" w:rsidRPr="000E0C38">
        <w:t>The d</w:t>
      </w:r>
      <w:r w:rsidRPr="000E0C38">
        <w:t>emonstration effect is key to creating trust</w:t>
      </w:r>
      <w:r w:rsidR="001D3F86" w:rsidRPr="000E0C38">
        <w:t>; showing proof of concept;</w:t>
      </w:r>
      <w:r w:rsidRPr="000E0C38">
        <w:t xml:space="preserve"> and reducing employer concerns around costs, labour issues</w:t>
      </w:r>
      <w:r w:rsidR="001D3F86" w:rsidRPr="000E0C38">
        <w:t>,</w:t>
      </w:r>
      <w:r w:rsidRPr="000E0C38">
        <w:t xml:space="preserve"> and productivity.</w:t>
      </w:r>
    </w:p>
    <w:p w14:paraId="20E34E1F" w14:textId="0DB23CDF" w:rsidR="00CD0F0E" w:rsidRPr="000E0C38" w:rsidRDefault="00CD0F0E" w:rsidP="008F4768">
      <w:pPr>
        <w:pStyle w:val="BodyText"/>
        <w:tabs>
          <w:tab w:val="left" w:pos="2830"/>
        </w:tabs>
        <w:spacing w:after="120" w:line="276" w:lineRule="auto"/>
        <w:jc w:val="both"/>
      </w:pPr>
      <w:r w:rsidRPr="000E0C38">
        <w:rPr>
          <w:b/>
        </w:rPr>
        <w:t xml:space="preserve">Construction </w:t>
      </w:r>
      <w:r w:rsidR="00066F4B" w:rsidRPr="000E0C38">
        <w:rPr>
          <w:b/>
        </w:rPr>
        <w:t xml:space="preserve">employment </w:t>
      </w:r>
      <w:r w:rsidRPr="000E0C38">
        <w:rPr>
          <w:b/>
        </w:rPr>
        <w:t>interventions offer good opportunities to deliver other development priorities</w:t>
      </w:r>
      <w:r w:rsidR="001D3F86" w:rsidRPr="000E0C38">
        <w:rPr>
          <w:b/>
        </w:rPr>
        <w:t>,</w:t>
      </w:r>
      <w:r w:rsidR="007D60EB" w:rsidRPr="000E0C38">
        <w:rPr>
          <w:b/>
        </w:rPr>
        <w:t xml:space="preserve"> and can be integrated into wider programming</w:t>
      </w:r>
      <w:r w:rsidR="00B869EA" w:rsidRPr="000E0C38">
        <w:rPr>
          <w:b/>
        </w:rPr>
        <w:t>.</w:t>
      </w:r>
      <w:r w:rsidRPr="000E0C38">
        <w:rPr>
          <w:b/>
        </w:rPr>
        <w:t xml:space="preserve"> </w:t>
      </w:r>
      <w:r w:rsidRPr="000E0C38">
        <w:t xml:space="preserve">Construction </w:t>
      </w:r>
      <w:r w:rsidR="00066F4B" w:rsidRPr="000E0C38">
        <w:t>sector employment</w:t>
      </w:r>
      <w:r w:rsidRPr="000E0C38">
        <w:t xml:space="preserve"> interventions can potentially deliver strong </w:t>
      </w:r>
      <w:r w:rsidR="001D3F86" w:rsidRPr="000E0C38">
        <w:t>value for money (</w:t>
      </w:r>
      <w:r w:rsidR="00495CED" w:rsidRPr="000E0C38">
        <w:t>V</w:t>
      </w:r>
      <w:r w:rsidR="0077411F" w:rsidRPr="000E0C38">
        <w:t>f</w:t>
      </w:r>
      <w:r w:rsidR="00495CED" w:rsidRPr="000E0C38">
        <w:t>M</w:t>
      </w:r>
      <w:r w:rsidR="001D3F86" w:rsidRPr="000E0C38">
        <w:t>)</w:t>
      </w:r>
      <w:r w:rsidRPr="000E0C38">
        <w:t xml:space="preserve"> co-benefits where they are integrated with more focused sectoral interventions (e.g. roads, transport, housing), or other cross-cutting priorities (e.g. climate change, poverty alleviation, female empowerment).</w:t>
      </w:r>
      <w:r w:rsidR="001D3F86" w:rsidRPr="000E0C38">
        <w:t xml:space="preserve"> </w:t>
      </w:r>
      <w:r w:rsidRPr="000E0C38">
        <w:t xml:space="preserve">DFID might therefore explore opportunities to include </w:t>
      </w:r>
      <w:r w:rsidR="005E5299" w:rsidRPr="000E0C38">
        <w:t xml:space="preserve">measures </w:t>
      </w:r>
      <w:r w:rsidR="00066F4B" w:rsidRPr="000E0C38">
        <w:t xml:space="preserve">to improve </w:t>
      </w:r>
      <w:r w:rsidRPr="000E0C38">
        <w:t>construction</w:t>
      </w:r>
      <w:r w:rsidR="00066F4B" w:rsidRPr="000E0C38">
        <w:t xml:space="preserve"> employment </w:t>
      </w:r>
      <w:r w:rsidRPr="000E0C38">
        <w:t>as sub</w:t>
      </w:r>
      <w:r w:rsidR="007A6FF2" w:rsidRPr="000E0C38">
        <w:t>-</w:t>
      </w:r>
      <w:r w:rsidRPr="000E0C38">
        <w:t xml:space="preserve">components to larger programmes. One example is green </w:t>
      </w:r>
      <w:r w:rsidRPr="000E0C38">
        <w:lastRenderedPageBreak/>
        <w:t xml:space="preserve">construction (e.g. Zambia Green Jobs Programme) which simultaneously delivers job growth and reform within a larger low carbon </w:t>
      </w:r>
      <w:r w:rsidR="001D3F86" w:rsidRPr="000E0C38">
        <w:t xml:space="preserve">development supply chain. </w:t>
      </w:r>
      <w:r w:rsidRPr="000E0C38">
        <w:t xml:space="preserve">Such projects may have a different primary purpose (e.g. developing supply chains for an emerging sector), but </w:t>
      </w:r>
      <w:r w:rsidR="005E5299" w:rsidRPr="000E0C38">
        <w:t>can accommodate measures to promote</w:t>
      </w:r>
      <w:r w:rsidRPr="000E0C38">
        <w:t xml:space="preserve"> job creation, reskilling</w:t>
      </w:r>
      <w:r w:rsidR="001D3F86" w:rsidRPr="000E0C38">
        <w:t>,</w:t>
      </w:r>
      <w:r w:rsidRPr="000E0C38">
        <w:t xml:space="preserve"> or regulatory reform</w:t>
      </w:r>
      <w:r w:rsidR="005E5299" w:rsidRPr="000E0C38">
        <w:t>.</w:t>
      </w:r>
    </w:p>
    <w:p w14:paraId="4B38C391" w14:textId="09D5EA44" w:rsidR="00D1773F" w:rsidRPr="000E0C38" w:rsidRDefault="001D3F86" w:rsidP="008F4768">
      <w:pPr>
        <w:pStyle w:val="BodyText"/>
        <w:tabs>
          <w:tab w:val="left" w:pos="2830"/>
        </w:tabs>
        <w:spacing w:after="120" w:line="276" w:lineRule="auto"/>
        <w:jc w:val="both"/>
      </w:pPr>
      <w:r w:rsidRPr="000E0C38">
        <w:rPr>
          <w:b/>
        </w:rPr>
        <w:t xml:space="preserve">There are good </w:t>
      </w:r>
      <w:r w:rsidR="007D60EB" w:rsidRPr="000E0C38">
        <w:rPr>
          <w:b/>
        </w:rPr>
        <w:t xml:space="preserve">practices </w:t>
      </w:r>
      <w:r w:rsidRPr="000E0C38">
        <w:rPr>
          <w:b/>
        </w:rPr>
        <w:t>in</w:t>
      </w:r>
      <w:r w:rsidR="007D60EB" w:rsidRPr="000E0C38">
        <w:rPr>
          <w:b/>
        </w:rPr>
        <w:t xml:space="preserve"> stakeholder engagement and programme design </w:t>
      </w:r>
      <w:r w:rsidRPr="000E0C38">
        <w:rPr>
          <w:b/>
        </w:rPr>
        <w:t xml:space="preserve">that </w:t>
      </w:r>
      <w:r w:rsidR="007D60EB" w:rsidRPr="000E0C38">
        <w:rPr>
          <w:b/>
        </w:rPr>
        <w:t xml:space="preserve">can enhance </w:t>
      </w:r>
      <w:r w:rsidR="0077411F" w:rsidRPr="000E0C38">
        <w:rPr>
          <w:b/>
        </w:rPr>
        <w:t>VfM</w:t>
      </w:r>
      <w:r w:rsidR="00B869EA" w:rsidRPr="000E0C38">
        <w:rPr>
          <w:b/>
        </w:rPr>
        <w:t>.</w:t>
      </w:r>
      <w:r w:rsidR="007D60EB" w:rsidRPr="000E0C38">
        <w:rPr>
          <w:b/>
        </w:rPr>
        <w:t xml:space="preserve"> </w:t>
      </w:r>
      <w:r w:rsidR="00CD0F0E" w:rsidRPr="000E0C38">
        <w:t xml:space="preserve">A review of existing construction </w:t>
      </w:r>
      <w:r w:rsidR="00066F4B" w:rsidRPr="000E0C38">
        <w:t>sector interventions</w:t>
      </w:r>
      <w:r w:rsidR="00CD0F0E" w:rsidRPr="000E0C38">
        <w:t xml:space="preserve"> indicates that there are a number of important key success factors (KSFs) in implementing successful </w:t>
      </w:r>
      <w:r w:rsidR="00066F4B" w:rsidRPr="000E0C38">
        <w:t xml:space="preserve">employment practice </w:t>
      </w:r>
      <w:r w:rsidRPr="000E0C38">
        <w:t xml:space="preserve">programmes. </w:t>
      </w:r>
      <w:r w:rsidR="00CD0F0E" w:rsidRPr="000E0C38">
        <w:t>These include</w:t>
      </w:r>
      <w:r w:rsidR="00D1773F" w:rsidRPr="000E0C38">
        <w:t>:</w:t>
      </w:r>
    </w:p>
    <w:p w14:paraId="5BB37661" w14:textId="77777777" w:rsidR="00D1773F" w:rsidRPr="000E0C38" w:rsidRDefault="00D1773F" w:rsidP="00831B36">
      <w:pPr>
        <w:pStyle w:val="BodyText"/>
        <w:numPr>
          <w:ilvl w:val="0"/>
          <w:numId w:val="17"/>
        </w:numPr>
        <w:spacing w:after="0" w:line="276" w:lineRule="auto"/>
        <w:ind w:left="709" w:hanging="284"/>
        <w:jc w:val="both"/>
      </w:pPr>
      <w:r w:rsidRPr="000E0C38">
        <w:t>E</w:t>
      </w:r>
      <w:r w:rsidR="00CD0F0E" w:rsidRPr="000E0C38">
        <w:t>ngagement with high-level stakeholders (particularly to support regulatory reform and</w:t>
      </w:r>
      <w:r w:rsidRPr="000E0C38">
        <w:t xml:space="preserve"> </w:t>
      </w:r>
      <w:r w:rsidR="00CD0F0E" w:rsidRPr="000E0C38">
        <w:t>/</w:t>
      </w:r>
      <w:r w:rsidRPr="000E0C38">
        <w:t xml:space="preserve"> </w:t>
      </w:r>
      <w:r w:rsidR="00CD0F0E" w:rsidRPr="000E0C38">
        <w:t>or the adopti</w:t>
      </w:r>
      <w:r w:rsidRPr="000E0C38">
        <w:t>on of voluntary best practice).</w:t>
      </w:r>
    </w:p>
    <w:p w14:paraId="0ED145E0" w14:textId="77777777" w:rsidR="00D1773F" w:rsidRPr="000E0C38" w:rsidRDefault="00D1773F" w:rsidP="00831B36">
      <w:pPr>
        <w:pStyle w:val="BodyText"/>
        <w:numPr>
          <w:ilvl w:val="0"/>
          <w:numId w:val="17"/>
        </w:numPr>
        <w:spacing w:after="0" w:line="276" w:lineRule="auto"/>
        <w:ind w:left="709" w:hanging="284"/>
        <w:jc w:val="both"/>
      </w:pPr>
      <w:r w:rsidRPr="000E0C38">
        <w:t>F</w:t>
      </w:r>
      <w:r w:rsidR="00CD0F0E" w:rsidRPr="000E0C38">
        <w:t>ocusing efforts in a small number of high impact initiatives (</w:t>
      </w:r>
      <w:r w:rsidRPr="000E0C38">
        <w:t>to build visibility and trust).</w:t>
      </w:r>
    </w:p>
    <w:p w14:paraId="0D7265AA" w14:textId="77777777" w:rsidR="00D1773F" w:rsidRPr="000E0C38" w:rsidRDefault="00D1773F" w:rsidP="00831B36">
      <w:pPr>
        <w:pStyle w:val="BodyText"/>
        <w:numPr>
          <w:ilvl w:val="0"/>
          <w:numId w:val="17"/>
        </w:numPr>
        <w:spacing w:after="0" w:line="276" w:lineRule="auto"/>
        <w:ind w:left="709" w:hanging="284"/>
        <w:jc w:val="both"/>
      </w:pPr>
      <w:r w:rsidRPr="000E0C38">
        <w:t>E</w:t>
      </w:r>
      <w:r w:rsidR="00CD0F0E" w:rsidRPr="000E0C38">
        <w:t xml:space="preserve">ngaging with both workers and private sector employers </w:t>
      </w:r>
      <w:r w:rsidRPr="000E0C38">
        <w:t>so</w:t>
      </w:r>
      <w:r w:rsidR="00CD0F0E" w:rsidRPr="000E0C38">
        <w:t xml:space="preserve"> that incentives are aligned</w:t>
      </w:r>
      <w:r w:rsidRPr="000E0C38">
        <w:t>,</w:t>
      </w:r>
      <w:r w:rsidR="00CD0F0E" w:rsidRPr="000E0C38">
        <w:t xml:space="preserve"> and pro</w:t>
      </w:r>
      <w:r w:rsidRPr="000E0C38">
        <w:t>posed solutions are acceptable.</w:t>
      </w:r>
    </w:p>
    <w:p w14:paraId="78B2E294" w14:textId="77777777" w:rsidR="00D1773F" w:rsidRPr="000E0C38" w:rsidRDefault="00D1773F" w:rsidP="00831B36">
      <w:pPr>
        <w:pStyle w:val="BodyText"/>
        <w:numPr>
          <w:ilvl w:val="0"/>
          <w:numId w:val="17"/>
        </w:numPr>
        <w:spacing w:after="0" w:line="276" w:lineRule="auto"/>
        <w:ind w:left="709" w:hanging="284"/>
        <w:jc w:val="both"/>
      </w:pPr>
      <w:r w:rsidRPr="000E0C38">
        <w:t>A</w:t>
      </w:r>
      <w:r w:rsidR="00CD0F0E" w:rsidRPr="000E0C38">
        <w:t>nchoring initiatives in larger scale construction capital investment projects (</w:t>
      </w:r>
      <w:r w:rsidRPr="000E0C38">
        <w:t xml:space="preserve">for greater chance of </w:t>
      </w:r>
      <w:r w:rsidR="00CD0F0E" w:rsidRPr="000E0C38">
        <w:t>economic viability, labo</w:t>
      </w:r>
      <w:r w:rsidRPr="000E0C38">
        <w:t>ur demand, and skills relevance).</w:t>
      </w:r>
    </w:p>
    <w:p w14:paraId="01AB2DF9" w14:textId="77777777" w:rsidR="00CD0F0E" w:rsidRPr="000E0C38" w:rsidRDefault="00D1773F" w:rsidP="00831B36">
      <w:pPr>
        <w:pStyle w:val="BodyText"/>
        <w:numPr>
          <w:ilvl w:val="0"/>
          <w:numId w:val="17"/>
        </w:numPr>
        <w:spacing w:after="120" w:line="276" w:lineRule="auto"/>
        <w:ind w:left="709" w:hanging="284"/>
        <w:jc w:val="both"/>
      </w:pPr>
      <w:r w:rsidRPr="000E0C38">
        <w:t>A</w:t>
      </w:r>
      <w:r w:rsidR="00CD0F0E" w:rsidRPr="000E0C38">
        <w:t>dopting a market supply chain based approach that looks at skill sets beyond pure construction labour, thereby supporting sector viability.</w:t>
      </w:r>
    </w:p>
    <w:p w14:paraId="1F0F53A5" w14:textId="55F83095" w:rsidR="00CD0F0E" w:rsidRPr="000E0C38" w:rsidRDefault="007D60EB" w:rsidP="008F4768">
      <w:pPr>
        <w:pStyle w:val="BodyText"/>
        <w:tabs>
          <w:tab w:val="left" w:pos="2830"/>
        </w:tabs>
        <w:spacing w:after="120" w:line="276" w:lineRule="auto"/>
        <w:jc w:val="both"/>
      </w:pPr>
      <w:r w:rsidRPr="000E0C38">
        <w:rPr>
          <w:b/>
        </w:rPr>
        <w:t>The presence of foreign contractors should not be regarded as a barrier to engagement, although migrant labour requires a differentiated programming approach</w:t>
      </w:r>
      <w:r w:rsidR="00B869EA" w:rsidRPr="000E0C38">
        <w:rPr>
          <w:b/>
        </w:rPr>
        <w:t>.</w:t>
      </w:r>
      <w:r w:rsidR="00D1773F" w:rsidRPr="000E0C38">
        <w:t xml:space="preserve"> </w:t>
      </w:r>
      <w:r w:rsidR="00CD0F0E" w:rsidRPr="000E0C38">
        <w:t xml:space="preserve">Foreign contractors potentially </w:t>
      </w:r>
      <w:r w:rsidR="005E5299" w:rsidRPr="000E0C38">
        <w:t xml:space="preserve">can </w:t>
      </w:r>
      <w:r w:rsidR="00066F4B" w:rsidRPr="000E0C38">
        <w:t>be</w:t>
      </w:r>
      <w:r w:rsidR="00CD0F0E" w:rsidRPr="000E0C38">
        <w:t xml:space="preserve"> asset</w:t>
      </w:r>
      <w:r w:rsidR="00991DB7" w:rsidRPr="000E0C38">
        <w:t>s</w:t>
      </w:r>
      <w:r w:rsidR="00CD0F0E" w:rsidRPr="000E0C38">
        <w:t xml:space="preserve"> in </w:t>
      </w:r>
      <w:r w:rsidR="00066F4B" w:rsidRPr="000E0C38">
        <w:t xml:space="preserve">improving employment markets </w:t>
      </w:r>
      <w:r w:rsidR="00D1773F" w:rsidRPr="000E0C38">
        <w:t>in</w:t>
      </w:r>
      <w:r w:rsidR="00066F4B" w:rsidRPr="000E0C38">
        <w:t xml:space="preserve"> </w:t>
      </w:r>
      <w:r w:rsidR="00CD0F0E" w:rsidRPr="000E0C38">
        <w:t>construction, as they can raise standards in the supply chain, and deliver investment in training or apprenticeships</w:t>
      </w:r>
      <w:r w:rsidR="00D1773F" w:rsidRPr="000E0C38">
        <w:t>.</w:t>
      </w:r>
      <w:r w:rsidR="00CD0F0E" w:rsidRPr="000E0C38">
        <w:t xml:space="preserve"> </w:t>
      </w:r>
      <w:r w:rsidR="003A7CFA" w:rsidRPr="000E0C38">
        <w:t xml:space="preserve">Also, it </w:t>
      </w:r>
      <w:r w:rsidR="00CD0F0E" w:rsidRPr="000E0C38">
        <w:t xml:space="preserve">should not be assumed that high levels of international contractor involvement (e.g. Chinese </w:t>
      </w:r>
      <w:r w:rsidR="007A6FF2" w:rsidRPr="000E0C38">
        <w:t>Engineering, Procurement and Construction (</w:t>
      </w:r>
      <w:r w:rsidR="00CD0F0E" w:rsidRPr="000E0C38">
        <w:t>EPC</w:t>
      </w:r>
      <w:r w:rsidR="007A6FF2" w:rsidRPr="000E0C38">
        <w:t>) contractors</w:t>
      </w:r>
      <w:r w:rsidR="00CD0F0E" w:rsidRPr="000E0C38">
        <w:t xml:space="preserve">) </w:t>
      </w:r>
      <w:r w:rsidR="00991DB7" w:rsidRPr="000E0C38">
        <w:t>is</w:t>
      </w:r>
      <w:r w:rsidR="00CD0F0E" w:rsidRPr="000E0C38">
        <w:t xml:space="preserve"> automatically associated with migrant labour (as this is more likely to be at managerial level)</w:t>
      </w:r>
      <w:r w:rsidR="003D33C2" w:rsidRPr="000E0C38">
        <w:t>.  T</w:t>
      </w:r>
      <w:r w:rsidR="00CD0F0E" w:rsidRPr="000E0C38">
        <w:t xml:space="preserve">he economics of imported labour mean the trend towards greater use of domestic labour is </w:t>
      </w:r>
      <w:r w:rsidR="00991DB7" w:rsidRPr="000E0C38">
        <w:t xml:space="preserve">likely </w:t>
      </w:r>
      <w:r w:rsidR="00CD0F0E" w:rsidRPr="000E0C38">
        <w:t>to continue. There are, however, few models of successful engagement between donors and contractors from emerging economies from which to draw lesson</w:t>
      </w:r>
      <w:r w:rsidR="00D1773F" w:rsidRPr="000E0C38">
        <w:t xml:space="preserve">s about successful engagement. </w:t>
      </w:r>
      <w:r w:rsidR="00CD0F0E" w:rsidRPr="000E0C38">
        <w:t xml:space="preserve">Where migrant labour does form </w:t>
      </w:r>
      <w:r w:rsidRPr="000E0C38">
        <w:t>a sizable proportion</w:t>
      </w:r>
      <w:r w:rsidR="00CD0F0E" w:rsidRPr="000E0C38">
        <w:t xml:space="preserve"> of </w:t>
      </w:r>
      <w:r w:rsidR="00066F4B" w:rsidRPr="000E0C38">
        <w:t xml:space="preserve">construction sector </w:t>
      </w:r>
      <w:r w:rsidR="00CD0F0E" w:rsidRPr="000E0C38">
        <w:t>labour, then the focus should be on conditions (informality, O</w:t>
      </w:r>
      <w:r w:rsidR="00D1773F" w:rsidRPr="000E0C38">
        <w:t>SH</w:t>
      </w:r>
      <w:r w:rsidR="00CD0F0E" w:rsidRPr="000E0C38">
        <w:t>), rather than on skills, the benefits of which are unlikely to be captured in the domestic economy.</w:t>
      </w:r>
    </w:p>
    <w:p w14:paraId="2A089E89" w14:textId="72F532AE" w:rsidR="00CD0F0E" w:rsidRPr="000E0C38" w:rsidRDefault="00B869EA" w:rsidP="008F4768">
      <w:pPr>
        <w:pStyle w:val="BodyText"/>
        <w:tabs>
          <w:tab w:val="left" w:pos="2830"/>
        </w:tabs>
        <w:spacing w:after="120" w:line="276" w:lineRule="auto"/>
        <w:jc w:val="both"/>
      </w:pPr>
      <w:r w:rsidRPr="000E0C38">
        <w:rPr>
          <w:b/>
        </w:rPr>
        <w:t xml:space="preserve">Trends in supply chain integration and mechanisation have the potential to reduce or change the pattern of labour intensity in the construction sector. </w:t>
      </w:r>
      <w:r w:rsidR="007D60EB" w:rsidRPr="000E0C38">
        <w:t>T</w:t>
      </w:r>
      <w:r w:rsidR="00CD0F0E" w:rsidRPr="000E0C38">
        <w:t>he design of labour</w:t>
      </w:r>
      <w:r w:rsidR="007D60EB" w:rsidRPr="000E0C38">
        <w:t>-</w:t>
      </w:r>
      <w:r w:rsidR="00CD0F0E" w:rsidRPr="000E0C38">
        <w:t>intensive programmes in the construction industry (i.e. where job creation is the primary focus) may run counter to prevailing efficiency trends associated with increased pre-fabrication and mechanisation, particularly for larger projects in more developed (lower) middle-income economies</w:t>
      </w:r>
      <w:r w:rsidR="00D1773F" w:rsidRPr="000E0C38">
        <w:t xml:space="preserve">. </w:t>
      </w:r>
      <w:r w:rsidR="00CD0F0E" w:rsidRPr="000E0C38">
        <w:t>As such, there is potential for temporary employment gains to be promoted at the expense of improved efficiency and quality of delivery</w:t>
      </w:r>
      <w:r w:rsidR="00D50B0A" w:rsidRPr="000E0C38">
        <w:t xml:space="preserve">, </w:t>
      </w:r>
      <w:r w:rsidR="003A59AE" w:rsidRPr="000E0C38">
        <w:t xml:space="preserve">rather than </w:t>
      </w:r>
      <w:r w:rsidR="005E1E88" w:rsidRPr="000E0C38">
        <w:t>maximising</w:t>
      </w:r>
      <w:r w:rsidR="00D50B0A" w:rsidRPr="000E0C38">
        <w:t xml:space="preserve"> ‘total factor productivity’ </w:t>
      </w:r>
      <w:r w:rsidR="005E1E88" w:rsidRPr="000E0C38">
        <w:t xml:space="preserve">(added value) </w:t>
      </w:r>
      <w:r w:rsidR="00D50B0A" w:rsidRPr="000E0C38">
        <w:t xml:space="preserve">within the </w:t>
      </w:r>
      <w:r w:rsidR="003A59AE" w:rsidRPr="000E0C38">
        <w:t>sector</w:t>
      </w:r>
      <w:r w:rsidR="00CD0F0E" w:rsidRPr="000E0C38">
        <w:t>. In developing countries, trends towards mechanisation and pre-fabrication are more likely to emerge initially in larger-scale construction projects, with greater involvement of foreign contractors a</w:t>
      </w:r>
      <w:r w:rsidR="00D1773F" w:rsidRPr="000E0C38">
        <w:t xml:space="preserve">nd more complex supply chains. </w:t>
      </w:r>
      <w:r w:rsidR="00CD0F0E" w:rsidRPr="000E0C38">
        <w:t>Such scenarios favour investment in worker upskilling and retraining (potentially moving up the s</w:t>
      </w:r>
      <w:r w:rsidR="00D1773F" w:rsidRPr="000E0C38">
        <w:t xml:space="preserve">upply chain into fabrication). </w:t>
      </w:r>
      <w:r w:rsidR="00CD0F0E" w:rsidRPr="000E0C38">
        <w:t>The use of the construction sector to create lower skilled jobs is better done in market contexts where there is no immediate prospect of greater efficiency or economies of scale (i.e. in community-scale construction works) or in poorer</w:t>
      </w:r>
      <w:r w:rsidR="00D1773F" w:rsidRPr="000E0C38">
        <w:t xml:space="preserve"> </w:t>
      </w:r>
      <w:r w:rsidR="00CD0F0E" w:rsidRPr="000E0C38">
        <w:t>/</w:t>
      </w:r>
      <w:r w:rsidR="00D1773F" w:rsidRPr="000E0C38">
        <w:t xml:space="preserve"> </w:t>
      </w:r>
      <w:r w:rsidR="00CD0F0E" w:rsidRPr="000E0C38">
        <w:t>low</w:t>
      </w:r>
      <w:r w:rsidR="007A6FF2" w:rsidRPr="000E0C38">
        <w:t>-</w:t>
      </w:r>
      <w:r w:rsidR="00CD0F0E" w:rsidRPr="000E0C38">
        <w:t>wage markets where there is less immediate opportunity for improvements in efficiency.</w:t>
      </w:r>
    </w:p>
    <w:p w14:paraId="27B6C417" w14:textId="39CEBD2B" w:rsidR="00CD0F0E" w:rsidRPr="000E0C38" w:rsidRDefault="0079366D" w:rsidP="00987F10">
      <w:pPr>
        <w:pStyle w:val="BodyText"/>
        <w:tabs>
          <w:tab w:val="left" w:pos="2830"/>
        </w:tabs>
        <w:spacing w:after="120" w:line="276" w:lineRule="auto"/>
        <w:jc w:val="both"/>
      </w:pPr>
      <w:r w:rsidRPr="000E0C38">
        <w:rPr>
          <w:b/>
        </w:rPr>
        <w:t>There are opportunities to undertake cost benefit analysis</w:t>
      </w:r>
      <w:r w:rsidR="003D33C2" w:rsidRPr="000E0C38">
        <w:rPr>
          <w:b/>
        </w:rPr>
        <w:t xml:space="preserve"> on programme development</w:t>
      </w:r>
      <w:r w:rsidRPr="000E0C38">
        <w:rPr>
          <w:b/>
        </w:rPr>
        <w:t xml:space="preserve">, but the current evidence base </w:t>
      </w:r>
      <w:r w:rsidR="003D33C2" w:rsidRPr="000E0C38">
        <w:rPr>
          <w:b/>
        </w:rPr>
        <w:t xml:space="preserve">for similar benchmarks </w:t>
      </w:r>
      <w:r w:rsidRPr="000E0C38">
        <w:rPr>
          <w:b/>
        </w:rPr>
        <w:t xml:space="preserve">is weak. </w:t>
      </w:r>
      <w:r w:rsidRPr="000E0C38">
        <w:t xml:space="preserve">There are </w:t>
      </w:r>
      <w:r w:rsidR="00444CDB" w:rsidRPr="000E0C38">
        <w:t xml:space="preserve">several </w:t>
      </w:r>
      <w:r w:rsidRPr="000E0C38">
        <w:t>potential quantifiable benefits associated with construction sector programme appraisal</w:t>
      </w:r>
      <w:r w:rsidR="0077411F" w:rsidRPr="000E0C38">
        <w:t>, including</w:t>
      </w:r>
      <w:r w:rsidRPr="000E0C38">
        <w:t xml:space="preserve"> avoided loss of life and injury, improved wages, </w:t>
      </w:r>
      <w:r w:rsidR="003D33C2" w:rsidRPr="000E0C38">
        <w:t xml:space="preserve">new supply chain jobs, </w:t>
      </w:r>
      <w:r w:rsidRPr="000E0C38">
        <w:t>greater inclusion, improved productivit</w:t>
      </w:r>
      <w:r w:rsidR="00444CDB" w:rsidRPr="000E0C38">
        <w:t xml:space="preserve">y and wider </w:t>
      </w:r>
      <w:proofErr w:type="spellStart"/>
      <w:r w:rsidR="00444CDB" w:rsidRPr="000E0C38">
        <w:t>spillover</w:t>
      </w:r>
      <w:proofErr w:type="spellEnd"/>
      <w:r w:rsidR="00444CDB" w:rsidRPr="000E0C38">
        <w:t xml:space="preserve"> effects to the local economy. However, care should be taken to ensure that additional costs to employers are also recognised, as improved labour systems often represent an economic transfer from employers to employees and the social system.</w:t>
      </w:r>
      <w:r w:rsidR="003D33C2" w:rsidRPr="000E0C38">
        <w:t xml:space="preserve"> Care should also be taken in the use of shadow wage rates to value changes to employment.  </w:t>
      </w:r>
      <w:r w:rsidR="00444CDB" w:rsidRPr="000E0C38">
        <w:t>These</w:t>
      </w:r>
      <w:r w:rsidR="003D33C2" w:rsidRPr="000E0C38">
        <w:t xml:space="preserve"> benefits</w:t>
      </w:r>
      <w:r w:rsidR="00444CDB" w:rsidRPr="000E0C38">
        <w:t xml:space="preserve"> can be incorporated into a cost-benefit model as part of programme development. However, t</w:t>
      </w:r>
      <w:r w:rsidRPr="000E0C38">
        <w:t xml:space="preserve">he report finds that the use of cost benefit analysis on construction employment interventions is </w:t>
      </w:r>
      <w:r w:rsidR="00444CDB" w:rsidRPr="000E0C38">
        <w:t xml:space="preserve">currently </w:t>
      </w:r>
      <w:r w:rsidRPr="000E0C38">
        <w:t>limited</w:t>
      </w:r>
      <w:r w:rsidR="00444CDB" w:rsidRPr="000E0C38">
        <w:t xml:space="preserve"> in the literature</w:t>
      </w:r>
      <w:r w:rsidRPr="000E0C38">
        <w:t xml:space="preserve">, and there is </w:t>
      </w:r>
      <w:r w:rsidR="00444CDB" w:rsidRPr="000E0C38">
        <w:t>therefore scope for using future DFID interventions to help build the methodological robustness of such approaches and generate important evidence.</w:t>
      </w:r>
    </w:p>
    <w:p w14:paraId="298D636C" w14:textId="77777777" w:rsidR="00EE62A5" w:rsidRPr="000E0C38" w:rsidRDefault="00AB4486" w:rsidP="00E2041C">
      <w:pPr>
        <w:pStyle w:val="Heading1"/>
        <w:framePr w:h="805" w:hRule="exact" w:wrap="around" w:y="12"/>
      </w:pPr>
      <w:bookmarkStart w:id="2" w:name="_Toc498019384"/>
      <w:bookmarkStart w:id="3" w:name="_Toc492000449"/>
      <w:r w:rsidRPr="000E0C38">
        <w:lastRenderedPageBreak/>
        <w:t>Background</w:t>
      </w:r>
      <w:bookmarkEnd w:id="2"/>
    </w:p>
    <w:bookmarkEnd w:id="3"/>
    <w:p w14:paraId="302C0180" w14:textId="77777777" w:rsidR="008632F2" w:rsidRPr="000E0C38" w:rsidRDefault="008632F2" w:rsidP="008F4768">
      <w:pPr>
        <w:spacing w:after="120" w:line="276" w:lineRule="auto"/>
        <w:jc w:val="both"/>
        <w:rPr>
          <w:rFonts w:ascii="Arial" w:eastAsia="SimSun" w:hAnsi="Arial" w:cs="Arial"/>
          <w:b/>
          <w:sz w:val="20"/>
          <w:szCs w:val="20"/>
          <w:lang w:eastAsia="zh-CN"/>
        </w:rPr>
      </w:pPr>
      <w:r w:rsidRPr="000E0C38">
        <w:rPr>
          <w:rFonts w:ascii="Arial" w:eastAsia="SimSun" w:hAnsi="Arial" w:cs="Arial"/>
          <w:b/>
          <w:sz w:val="20"/>
          <w:szCs w:val="20"/>
          <w:lang w:eastAsia="zh-CN"/>
        </w:rPr>
        <w:t>More and better jobs</w:t>
      </w:r>
    </w:p>
    <w:p w14:paraId="2342481E"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DFID’s </w:t>
      </w:r>
      <w:r w:rsidRPr="000E0C38">
        <w:rPr>
          <w:rFonts w:ascii="Arial" w:eastAsia="SimSun" w:hAnsi="Arial" w:cs="Arial"/>
          <w:i/>
          <w:sz w:val="20"/>
          <w:szCs w:val="20"/>
          <w:lang w:eastAsia="zh-CN"/>
        </w:rPr>
        <w:t>Economic Development Strategy</w:t>
      </w:r>
      <w:r w:rsidRPr="000E0C38">
        <w:rPr>
          <w:rFonts w:ascii="Arial" w:eastAsia="SimSun" w:hAnsi="Arial" w:cs="Arial"/>
          <w:sz w:val="20"/>
          <w:szCs w:val="20"/>
          <w:lang w:eastAsia="zh-CN"/>
        </w:rPr>
        <w:t xml:space="preserve"> sets out a vision for lasting progress from ‘creating productive jobs for women and men that generate rising economic returns and improving working conditions’. It states an ambition to increase the number and quality of jobs in poor countries, and generate jobs and economic opportunities for excluded groups: women and girls, people with disabilities, people living with HIV. DFID seeks ‘to expand access for the poorest to jobs in high growth-potential sectors with improving working conditions’. The strategy highlights DFID’s ambition to promote inclusive growth through job creation, and to focus on creating jobs for those who are poor and marginalised and operating in the informal economy.</w:t>
      </w:r>
    </w:p>
    <w:p w14:paraId="40D57EB7"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Productive employment and decent work are key elements to achiev</w:t>
      </w:r>
      <w:r w:rsidR="00496198" w:rsidRPr="000E0C38">
        <w:rPr>
          <w:rFonts w:ascii="Arial" w:eastAsia="SimSun" w:hAnsi="Arial" w:cs="Arial"/>
          <w:sz w:val="20"/>
          <w:szCs w:val="20"/>
          <w:lang w:eastAsia="zh-CN"/>
        </w:rPr>
        <w:t>e</w:t>
      </w:r>
      <w:r w:rsidRPr="000E0C38">
        <w:rPr>
          <w:rFonts w:ascii="Arial" w:eastAsia="SimSun" w:hAnsi="Arial" w:cs="Arial"/>
          <w:sz w:val="20"/>
          <w:szCs w:val="20"/>
          <w:lang w:eastAsia="zh-CN"/>
        </w:rPr>
        <w:t xml:space="preserve"> fair globalisation and poverty reduction. The International Labour Organisation (ILO) has developed an agenda for the community of work looking at job creation, rights at work, social protection and social dialogue, with gender equality a cross</w:t>
      </w:r>
      <w:r w:rsidR="005775B8" w:rsidRPr="000E0C38">
        <w:rPr>
          <w:rFonts w:ascii="Arial" w:eastAsia="SimSun" w:hAnsi="Arial" w:cs="Arial"/>
          <w:sz w:val="20"/>
          <w:szCs w:val="20"/>
          <w:lang w:eastAsia="zh-CN"/>
        </w:rPr>
        <w:t>-</w:t>
      </w:r>
      <w:r w:rsidRPr="000E0C38">
        <w:rPr>
          <w:rFonts w:ascii="Arial" w:eastAsia="SimSun" w:hAnsi="Arial" w:cs="Arial"/>
          <w:sz w:val="20"/>
          <w:szCs w:val="20"/>
          <w:lang w:eastAsia="zh-CN"/>
        </w:rPr>
        <w:t>cutting objective.</w:t>
      </w:r>
    </w:p>
    <w:p w14:paraId="596B07D3" w14:textId="77777777" w:rsidR="008632F2" w:rsidRPr="000E0C38" w:rsidRDefault="008632F2" w:rsidP="008F4768">
      <w:pPr>
        <w:spacing w:after="120" w:line="276" w:lineRule="auto"/>
        <w:jc w:val="both"/>
        <w:rPr>
          <w:rFonts w:ascii="Arial" w:eastAsia="SimSun" w:hAnsi="Arial" w:cs="Arial"/>
          <w:b/>
          <w:sz w:val="20"/>
          <w:szCs w:val="20"/>
          <w:lang w:eastAsia="zh-CN"/>
        </w:rPr>
      </w:pPr>
      <w:r w:rsidRPr="000E0C38">
        <w:rPr>
          <w:rFonts w:ascii="Arial" w:eastAsia="SimSun" w:hAnsi="Arial" w:cs="Arial"/>
          <w:b/>
          <w:sz w:val="20"/>
          <w:szCs w:val="20"/>
          <w:lang w:eastAsia="zh-CN"/>
        </w:rPr>
        <w:t>The construction sector</w:t>
      </w:r>
    </w:p>
    <w:p w14:paraId="05A6F1D2" w14:textId="7110E4E2" w:rsidR="00EE62A5"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Construction is an important sector in almost all of DFID’s focus countries, as it is a major producer of capital </w:t>
      </w:r>
      <w:r w:rsidR="005775B8" w:rsidRPr="000E0C38">
        <w:rPr>
          <w:rFonts w:ascii="Arial" w:eastAsia="SimSun" w:hAnsi="Arial" w:cs="Arial"/>
          <w:sz w:val="20"/>
          <w:szCs w:val="20"/>
          <w:lang w:eastAsia="zh-CN"/>
        </w:rPr>
        <w:t xml:space="preserve">infrastructure </w:t>
      </w:r>
      <w:r w:rsidRPr="000E0C38">
        <w:rPr>
          <w:rFonts w:ascii="Arial" w:eastAsia="SimSun" w:hAnsi="Arial" w:cs="Arial"/>
          <w:sz w:val="20"/>
          <w:szCs w:val="20"/>
          <w:lang w:eastAsia="zh-CN"/>
        </w:rPr>
        <w:t xml:space="preserve">necessary for the growth of most </w:t>
      </w:r>
      <w:r w:rsidR="007A6FF2" w:rsidRPr="000E0C38">
        <w:rPr>
          <w:rFonts w:ascii="Arial" w:eastAsia="SimSun" w:hAnsi="Arial" w:cs="Arial"/>
          <w:sz w:val="20"/>
          <w:szCs w:val="20"/>
          <w:lang w:eastAsia="zh-CN"/>
        </w:rPr>
        <w:t xml:space="preserve">economic </w:t>
      </w:r>
      <w:r w:rsidRPr="000E0C38">
        <w:rPr>
          <w:rFonts w:ascii="Arial" w:eastAsia="SimSun" w:hAnsi="Arial" w:cs="Arial"/>
          <w:sz w:val="20"/>
          <w:szCs w:val="20"/>
          <w:lang w:eastAsia="zh-CN"/>
        </w:rPr>
        <w:t xml:space="preserve">sectors, and of vital </w:t>
      </w:r>
      <w:r w:rsidR="005775B8" w:rsidRPr="000E0C38">
        <w:rPr>
          <w:rFonts w:ascii="Arial" w:eastAsia="SimSun" w:hAnsi="Arial" w:cs="Arial"/>
          <w:sz w:val="20"/>
          <w:szCs w:val="20"/>
          <w:lang w:eastAsia="zh-CN"/>
        </w:rPr>
        <w:t>social goods</w:t>
      </w:r>
      <w:r w:rsidRPr="000E0C38">
        <w:rPr>
          <w:rFonts w:ascii="Arial" w:eastAsia="SimSun" w:hAnsi="Arial" w:cs="Arial"/>
          <w:sz w:val="20"/>
          <w:szCs w:val="20"/>
          <w:lang w:eastAsia="zh-CN"/>
        </w:rPr>
        <w:t xml:space="preserve"> such as housing.</w:t>
      </w:r>
      <w:r w:rsidR="005B6771"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 xml:space="preserve">In many </w:t>
      </w:r>
      <w:r w:rsidR="003A41E9" w:rsidRPr="000E0C38">
        <w:rPr>
          <w:rFonts w:ascii="Arial" w:eastAsia="SimSun" w:hAnsi="Arial" w:cs="Arial"/>
          <w:sz w:val="20"/>
          <w:szCs w:val="20"/>
          <w:lang w:eastAsia="zh-CN"/>
        </w:rPr>
        <w:t>low</w:t>
      </w:r>
      <w:r w:rsidR="00FA3DE2" w:rsidRPr="000E0C38">
        <w:rPr>
          <w:rFonts w:ascii="Times New Roman" w:eastAsia="SimSun" w:hAnsi="Times New Roman"/>
          <w:szCs w:val="22"/>
          <w:lang w:eastAsia="zh-CN"/>
        </w:rPr>
        <w:t>-</w:t>
      </w:r>
      <w:r w:rsidR="003A41E9" w:rsidRPr="000E0C38">
        <w:rPr>
          <w:rFonts w:ascii="Arial" w:eastAsia="SimSun" w:hAnsi="Arial" w:cs="Arial"/>
          <w:sz w:val="20"/>
          <w:szCs w:val="20"/>
          <w:lang w:eastAsia="zh-CN"/>
        </w:rPr>
        <w:t xml:space="preserve">income countries </w:t>
      </w:r>
      <w:r w:rsidRPr="000E0C38">
        <w:rPr>
          <w:rFonts w:ascii="Arial" w:eastAsia="SimSun" w:hAnsi="Arial" w:cs="Arial"/>
          <w:sz w:val="20"/>
          <w:szCs w:val="20"/>
          <w:lang w:eastAsia="zh-CN"/>
        </w:rPr>
        <w:t xml:space="preserve">(LICs), the construction sector </w:t>
      </w:r>
      <w:r w:rsidR="0081100C" w:rsidRPr="000E0C38">
        <w:rPr>
          <w:rFonts w:ascii="Arial" w:eastAsia="SimSun" w:hAnsi="Arial" w:cs="Arial"/>
          <w:sz w:val="20"/>
          <w:szCs w:val="20"/>
          <w:lang w:eastAsia="zh-CN"/>
        </w:rPr>
        <w:t>requires updated regulations</w:t>
      </w:r>
      <w:r w:rsidRPr="000E0C38">
        <w:rPr>
          <w:rFonts w:ascii="Arial" w:eastAsia="SimSun" w:hAnsi="Arial" w:cs="Arial"/>
          <w:sz w:val="20"/>
          <w:szCs w:val="20"/>
          <w:lang w:eastAsia="zh-CN"/>
        </w:rPr>
        <w:t>,</w:t>
      </w:r>
      <w:r w:rsidR="0081100C" w:rsidRPr="000E0C38">
        <w:rPr>
          <w:rFonts w:ascii="Arial" w:eastAsia="SimSun" w:hAnsi="Arial" w:cs="Arial"/>
          <w:sz w:val="20"/>
          <w:szCs w:val="20"/>
          <w:lang w:eastAsia="zh-CN"/>
        </w:rPr>
        <w:t xml:space="preserve"> improved management</w:t>
      </w:r>
      <w:r w:rsidRPr="000E0C38">
        <w:rPr>
          <w:rFonts w:ascii="Arial" w:eastAsia="SimSun" w:hAnsi="Arial" w:cs="Arial"/>
          <w:sz w:val="20"/>
          <w:szCs w:val="20"/>
          <w:lang w:eastAsia="zh-CN"/>
        </w:rPr>
        <w:t xml:space="preserve"> and </w:t>
      </w:r>
      <w:r w:rsidR="002E3E94" w:rsidRPr="000E0C38">
        <w:rPr>
          <w:rFonts w:ascii="Arial" w:eastAsia="SimSun" w:hAnsi="Arial" w:cs="Arial"/>
          <w:sz w:val="20"/>
          <w:szCs w:val="20"/>
          <w:lang w:eastAsia="zh-CN"/>
        </w:rPr>
        <w:t>better-quality</w:t>
      </w:r>
      <w:r w:rsidRPr="000E0C38">
        <w:rPr>
          <w:rFonts w:ascii="Arial" w:eastAsia="SimSun" w:hAnsi="Arial" w:cs="Arial"/>
          <w:sz w:val="20"/>
          <w:szCs w:val="20"/>
          <w:lang w:eastAsia="zh-CN"/>
        </w:rPr>
        <w:t xml:space="preserve"> infrastructure, including roads and buildings, </w:t>
      </w:r>
      <w:r w:rsidR="00671FAA" w:rsidRPr="000E0C38">
        <w:rPr>
          <w:rFonts w:ascii="Arial" w:eastAsia="SimSun" w:hAnsi="Arial" w:cs="Arial"/>
          <w:sz w:val="20"/>
          <w:szCs w:val="20"/>
          <w:lang w:eastAsia="zh-CN"/>
        </w:rPr>
        <w:t xml:space="preserve">as well as a more efficient and cost-effective supply chain. </w:t>
      </w:r>
      <w:r w:rsidR="004374C1" w:rsidRPr="000E0C38">
        <w:rPr>
          <w:rFonts w:ascii="Arial" w:eastAsia="SimSun" w:hAnsi="Arial" w:cs="Arial"/>
          <w:sz w:val="20"/>
          <w:szCs w:val="20"/>
          <w:lang w:eastAsia="zh-CN"/>
        </w:rPr>
        <w:t xml:space="preserve">Underdeveloped sector </w:t>
      </w:r>
      <w:r w:rsidR="0081100C" w:rsidRPr="000E0C38">
        <w:rPr>
          <w:rFonts w:ascii="Arial" w:eastAsia="SimSun" w:hAnsi="Arial" w:cs="Arial"/>
          <w:sz w:val="20"/>
          <w:szCs w:val="20"/>
          <w:lang w:eastAsia="zh-CN"/>
        </w:rPr>
        <w:t>capacity</w:t>
      </w:r>
      <w:r w:rsidRPr="000E0C38">
        <w:rPr>
          <w:rFonts w:ascii="Arial" w:eastAsia="SimSun" w:hAnsi="Arial" w:cs="Arial"/>
          <w:sz w:val="20"/>
          <w:szCs w:val="20"/>
          <w:lang w:eastAsia="zh-CN"/>
        </w:rPr>
        <w:t xml:space="preserve"> </w:t>
      </w:r>
      <w:r w:rsidR="004374C1" w:rsidRPr="000E0C38">
        <w:rPr>
          <w:rFonts w:ascii="Arial" w:eastAsia="SimSun" w:hAnsi="Arial" w:cs="Arial"/>
          <w:sz w:val="20"/>
          <w:szCs w:val="20"/>
          <w:lang w:eastAsia="zh-CN"/>
        </w:rPr>
        <w:t>leads to a greater</w:t>
      </w:r>
      <w:r w:rsidRPr="000E0C38">
        <w:rPr>
          <w:rFonts w:ascii="Arial" w:eastAsia="SimSun" w:hAnsi="Arial" w:cs="Arial"/>
          <w:sz w:val="20"/>
          <w:szCs w:val="20"/>
          <w:lang w:eastAsia="zh-CN"/>
        </w:rPr>
        <w:t xml:space="preserve"> reliance on foreign expertise and </w:t>
      </w:r>
      <w:r w:rsidR="004374C1" w:rsidRPr="000E0C38">
        <w:rPr>
          <w:rFonts w:ascii="Arial" w:eastAsia="SimSun" w:hAnsi="Arial" w:cs="Arial"/>
          <w:sz w:val="20"/>
          <w:szCs w:val="20"/>
          <w:lang w:eastAsia="zh-CN"/>
        </w:rPr>
        <w:t xml:space="preserve">can </w:t>
      </w:r>
      <w:r w:rsidRPr="000E0C38">
        <w:rPr>
          <w:rFonts w:ascii="Arial" w:eastAsia="SimSun" w:hAnsi="Arial" w:cs="Arial"/>
          <w:sz w:val="20"/>
          <w:szCs w:val="20"/>
          <w:lang w:eastAsia="zh-CN"/>
        </w:rPr>
        <w:t xml:space="preserve">severely limit opportunities for domestic job creation and enterprise development. </w:t>
      </w:r>
    </w:p>
    <w:p w14:paraId="7097BD1C"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This report seeks to explore opportunities for and barriers to the construction industry being a source of productive and decent job creation in LICs. DFID’s focus is on sectors that can unlock growth: energy, infrastructure, urban planning, manufacturing, commercial agriculture, and financial services. The construction sector is fundamental for delivering infrastructure, and this work will help to build the evidence base on its potential to support and promote productive employment.</w:t>
      </w:r>
    </w:p>
    <w:p w14:paraId="083EC161" w14:textId="77777777" w:rsidR="008632F2" w:rsidRPr="000E0C38" w:rsidRDefault="008632F2" w:rsidP="008F4768">
      <w:pPr>
        <w:spacing w:after="120" w:line="276" w:lineRule="auto"/>
        <w:rPr>
          <w:rFonts w:ascii="Arial" w:eastAsia="SimSun" w:hAnsi="Arial" w:cs="Arial"/>
          <w:b/>
          <w:sz w:val="20"/>
          <w:szCs w:val="20"/>
          <w:lang w:eastAsia="zh-CN"/>
        </w:rPr>
      </w:pPr>
      <w:r w:rsidRPr="000E0C38">
        <w:rPr>
          <w:rFonts w:ascii="Arial" w:eastAsia="SimSun" w:hAnsi="Arial" w:cs="Arial"/>
          <w:b/>
          <w:sz w:val="20"/>
          <w:szCs w:val="20"/>
          <w:lang w:eastAsia="zh-CN"/>
        </w:rPr>
        <w:t>Objectives</w:t>
      </w:r>
      <w:r w:rsidR="00496198" w:rsidRPr="000E0C38">
        <w:rPr>
          <w:rFonts w:ascii="Arial" w:eastAsia="SimSun" w:hAnsi="Arial" w:cs="Arial"/>
          <w:b/>
          <w:sz w:val="20"/>
          <w:szCs w:val="20"/>
          <w:lang w:eastAsia="zh-CN"/>
        </w:rPr>
        <w:t xml:space="preserve"> of the report</w:t>
      </w:r>
    </w:p>
    <w:p w14:paraId="6A8D506C" w14:textId="77777777" w:rsidR="008632F2" w:rsidRPr="000E0C38" w:rsidRDefault="008632F2" w:rsidP="008F4768">
      <w:pPr>
        <w:spacing w:after="120" w:line="276" w:lineRule="auto"/>
        <w:rPr>
          <w:rFonts w:ascii="Arial" w:eastAsia="SimSun" w:hAnsi="Arial" w:cs="Arial"/>
          <w:sz w:val="20"/>
          <w:szCs w:val="20"/>
          <w:lang w:eastAsia="zh-CN"/>
        </w:rPr>
      </w:pPr>
      <w:r w:rsidRPr="000E0C38">
        <w:rPr>
          <w:rFonts w:ascii="Arial" w:eastAsia="SimSun" w:hAnsi="Arial" w:cs="Arial"/>
          <w:sz w:val="20"/>
          <w:szCs w:val="20"/>
          <w:lang w:eastAsia="zh-CN"/>
        </w:rPr>
        <w:t xml:space="preserve">The objective of this </w:t>
      </w:r>
      <w:r w:rsidR="00EE62A5" w:rsidRPr="000E0C38">
        <w:rPr>
          <w:rFonts w:ascii="Arial" w:eastAsia="SimSun" w:hAnsi="Arial" w:cs="Arial"/>
          <w:sz w:val="20"/>
          <w:szCs w:val="20"/>
          <w:lang w:eastAsia="zh-CN"/>
        </w:rPr>
        <w:t>report</w:t>
      </w:r>
      <w:r w:rsidRPr="000E0C38">
        <w:rPr>
          <w:rFonts w:ascii="Arial" w:eastAsia="SimSun" w:hAnsi="Arial" w:cs="Arial"/>
          <w:sz w:val="20"/>
          <w:szCs w:val="20"/>
          <w:lang w:eastAsia="zh-CN"/>
        </w:rPr>
        <w:t xml:space="preserve"> is to answer the following four questions across DFID’s focus countries:</w:t>
      </w:r>
    </w:p>
    <w:p w14:paraId="4A532330" w14:textId="77777777" w:rsidR="008632F2" w:rsidRPr="000E0C38" w:rsidRDefault="008632F2" w:rsidP="00831B36">
      <w:pPr>
        <w:numPr>
          <w:ilvl w:val="0"/>
          <w:numId w:val="8"/>
        </w:numPr>
        <w:shd w:val="clear" w:color="auto" w:fill="FFFFFF"/>
        <w:spacing w:line="276" w:lineRule="auto"/>
        <w:ind w:left="595" w:hanging="595"/>
        <w:jc w:val="both"/>
        <w:rPr>
          <w:rFonts w:ascii="Arial" w:eastAsia="SimSun" w:hAnsi="Arial" w:cs="Arial"/>
          <w:sz w:val="20"/>
          <w:szCs w:val="20"/>
          <w:lang w:eastAsia="zh-CN"/>
        </w:rPr>
      </w:pPr>
      <w:r w:rsidRPr="000E0C38">
        <w:rPr>
          <w:rFonts w:ascii="Arial" w:eastAsia="SimSun" w:hAnsi="Arial" w:cs="Arial"/>
          <w:sz w:val="20"/>
          <w:szCs w:val="20"/>
          <w:lang w:eastAsia="zh-CN"/>
        </w:rPr>
        <w:t>What proportion of the [national] workforce is employed in the construction industry in DFID focus countries?</w:t>
      </w:r>
    </w:p>
    <w:p w14:paraId="7279CE1D" w14:textId="77777777" w:rsidR="008632F2" w:rsidRPr="000E0C38" w:rsidRDefault="008632F2" w:rsidP="00831B36">
      <w:pPr>
        <w:numPr>
          <w:ilvl w:val="0"/>
          <w:numId w:val="8"/>
        </w:numPr>
        <w:shd w:val="clear" w:color="auto" w:fill="FFFFFF"/>
        <w:spacing w:line="276" w:lineRule="auto"/>
        <w:ind w:left="595" w:hanging="595"/>
        <w:jc w:val="both"/>
        <w:rPr>
          <w:rFonts w:ascii="Arial" w:eastAsia="SimSun" w:hAnsi="Arial" w:cs="Arial"/>
          <w:sz w:val="20"/>
          <w:szCs w:val="20"/>
          <w:lang w:eastAsia="zh-CN"/>
        </w:rPr>
      </w:pPr>
      <w:r w:rsidRPr="000E0C38">
        <w:rPr>
          <w:rFonts w:ascii="Arial" w:eastAsia="SimSun" w:hAnsi="Arial" w:cs="Arial"/>
          <w:sz w:val="20"/>
          <w:szCs w:val="20"/>
          <w:lang w:eastAsia="zh-CN"/>
        </w:rPr>
        <w:t>What is the nature of construction industry employment in DFID focus countries, e.g. conditions, regularity of work, employment of women and children, safety, etc.?</w:t>
      </w:r>
    </w:p>
    <w:p w14:paraId="45E51B08" w14:textId="77777777" w:rsidR="008632F2" w:rsidRPr="000E0C38" w:rsidRDefault="008632F2" w:rsidP="00831B36">
      <w:pPr>
        <w:numPr>
          <w:ilvl w:val="0"/>
          <w:numId w:val="8"/>
        </w:numPr>
        <w:shd w:val="clear" w:color="auto" w:fill="FFFFFF"/>
        <w:spacing w:line="276" w:lineRule="auto"/>
        <w:ind w:left="595" w:hanging="595"/>
        <w:jc w:val="both"/>
        <w:rPr>
          <w:rFonts w:ascii="Arial" w:eastAsia="SimSun" w:hAnsi="Arial" w:cs="Arial"/>
          <w:sz w:val="20"/>
          <w:szCs w:val="20"/>
          <w:lang w:eastAsia="zh-CN"/>
        </w:rPr>
      </w:pPr>
      <w:r w:rsidRPr="000E0C38">
        <w:rPr>
          <w:rFonts w:ascii="Arial" w:eastAsia="SimSun" w:hAnsi="Arial" w:cs="Arial"/>
          <w:sz w:val="20"/>
          <w:szCs w:val="20"/>
          <w:lang w:eastAsia="zh-CN"/>
        </w:rPr>
        <w:t>What are the barriers to, and opportunities for, scaling up quality employment</w:t>
      </w:r>
      <w:r w:rsidRPr="000E0C38">
        <w:rPr>
          <w:rFonts w:ascii="Arial" w:eastAsia="SimSun" w:hAnsi="Arial" w:cs="Arial"/>
          <w:sz w:val="20"/>
          <w:szCs w:val="20"/>
          <w:vertAlign w:val="superscript"/>
          <w:lang w:eastAsia="zh-CN"/>
        </w:rPr>
        <w:footnoteReference w:id="2"/>
      </w:r>
      <w:r w:rsidRPr="000E0C38">
        <w:rPr>
          <w:rFonts w:ascii="Arial" w:eastAsia="SimSun" w:hAnsi="Arial" w:cs="Arial"/>
          <w:sz w:val="20"/>
          <w:szCs w:val="20"/>
          <w:lang w:eastAsia="zh-CN"/>
        </w:rPr>
        <w:t xml:space="preserve"> [for workers resident in the country / region] in the construction industry in DFID focus countries?</w:t>
      </w:r>
    </w:p>
    <w:p w14:paraId="014ADC59" w14:textId="77777777" w:rsidR="008632F2" w:rsidRPr="000E0C38" w:rsidRDefault="008632F2" w:rsidP="00831B36">
      <w:pPr>
        <w:numPr>
          <w:ilvl w:val="0"/>
          <w:numId w:val="8"/>
        </w:numPr>
        <w:shd w:val="clear" w:color="auto" w:fill="FFFFFF"/>
        <w:spacing w:after="120" w:line="276" w:lineRule="auto"/>
        <w:ind w:left="595" w:hanging="595"/>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Would investing in strengthening the construction industry and creating / improving the quality of jobs in the construction industry create good </w:t>
      </w:r>
      <w:r w:rsidR="003A41E9" w:rsidRPr="000E0C38">
        <w:rPr>
          <w:rFonts w:ascii="Arial" w:eastAsia="SimSun" w:hAnsi="Arial" w:cs="Arial"/>
          <w:sz w:val="20"/>
          <w:szCs w:val="20"/>
          <w:lang w:eastAsia="zh-CN"/>
        </w:rPr>
        <w:t>Value for Money (</w:t>
      </w:r>
      <w:r w:rsidR="00495CED" w:rsidRPr="000E0C38">
        <w:rPr>
          <w:rFonts w:ascii="Arial" w:eastAsia="SimSun" w:hAnsi="Arial" w:cs="Arial"/>
          <w:sz w:val="20"/>
          <w:szCs w:val="20"/>
          <w:lang w:eastAsia="zh-CN"/>
        </w:rPr>
        <w:t>VfM</w:t>
      </w:r>
      <w:r w:rsidR="003A41E9"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for UK Aid?</w:t>
      </w:r>
    </w:p>
    <w:p w14:paraId="2FF3FF06" w14:textId="77777777" w:rsidR="00EE62A5" w:rsidRPr="000E0C38" w:rsidRDefault="00EE62A5" w:rsidP="008F4768">
      <w:pPr>
        <w:pStyle w:val="BodyText"/>
        <w:spacing w:after="120" w:line="276" w:lineRule="auto"/>
        <w:rPr>
          <w:b/>
        </w:rPr>
      </w:pPr>
      <w:bookmarkStart w:id="4" w:name="_Toc492000450"/>
      <w:r w:rsidRPr="000E0C38">
        <w:rPr>
          <w:b/>
        </w:rPr>
        <w:t>Methodology</w:t>
      </w:r>
    </w:p>
    <w:p w14:paraId="42FB85B2" w14:textId="1AE8C907" w:rsidR="00C600C2" w:rsidRPr="000E0C38" w:rsidRDefault="005B0E02" w:rsidP="00987F10">
      <w:pPr>
        <w:pStyle w:val="BodyText"/>
        <w:spacing w:after="120" w:line="276" w:lineRule="auto"/>
        <w:jc w:val="both"/>
      </w:pPr>
      <w:r w:rsidRPr="000E0C38">
        <w:t xml:space="preserve">Desk research was conducted </w:t>
      </w:r>
      <w:r w:rsidR="00533E8D" w:rsidRPr="000E0C38">
        <w:t xml:space="preserve">to answer the abovementioned </w:t>
      </w:r>
      <w:r w:rsidRPr="000E0C38">
        <w:t>questions. This included the compilation of quantitative and qualitative data on employment and working conditions in the construction sector from ILO</w:t>
      </w:r>
      <w:r w:rsidR="006E54C9" w:rsidRPr="000E0C38">
        <w:t xml:space="preserve"> databases</w:t>
      </w:r>
      <w:r w:rsidR="00E2041C" w:rsidRPr="000E0C38">
        <w:t>,</w:t>
      </w:r>
      <w:r w:rsidR="006E54C9" w:rsidRPr="000E0C38">
        <w:t xml:space="preserve"> as well as published </w:t>
      </w:r>
      <w:r w:rsidR="00213F0A" w:rsidRPr="000E0C38">
        <w:t>construction and labour-related</w:t>
      </w:r>
      <w:r w:rsidRPr="000E0C38">
        <w:t xml:space="preserve"> reports. </w:t>
      </w:r>
      <w:r w:rsidR="00C600C2" w:rsidRPr="000E0C38">
        <w:t>Qualitative data included publications, programme reports, evaluations and support documentation, which were reviewed for the inclusion of case-study type examples.</w:t>
      </w:r>
    </w:p>
    <w:p w14:paraId="58AD9150" w14:textId="5B8C2C54" w:rsidR="00C600C2" w:rsidRPr="000E0C38" w:rsidRDefault="00C600C2" w:rsidP="00987F10">
      <w:pPr>
        <w:pStyle w:val="BodyText"/>
        <w:spacing w:after="120" w:line="276" w:lineRule="auto"/>
        <w:jc w:val="both"/>
      </w:pPr>
      <w:r w:rsidRPr="000E0C38">
        <w:t>Quantitative data comes from a</w:t>
      </w:r>
      <w:r w:rsidR="00F74325" w:rsidRPr="000E0C38">
        <w:t>n</w:t>
      </w:r>
      <w:r w:rsidRPr="000E0C38">
        <w:t xml:space="preserve"> </w:t>
      </w:r>
      <w:r w:rsidR="00F74325" w:rsidRPr="000E0C38">
        <w:t xml:space="preserve">ILO </w:t>
      </w:r>
      <w:r w:rsidRPr="000E0C38">
        <w:t xml:space="preserve">database that includes </w:t>
      </w:r>
      <w:r w:rsidR="00F74325" w:rsidRPr="000E0C38">
        <w:t>26</w:t>
      </w:r>
      <w:r w:rsidRPr="000E0C38">
        <w:t xml:space="preserve"> countries for which there is comparable data. Comparable nationwide statistics were not available for Somalia. Disaggregated data between Sudan and </w:t>
      </w:r>
      <w:r w:rsidRPr="000E0C38">
        <w:lastRenderedPageBreak/>
        <w:t>South Sudan was also not available. The source of labour market estimates in this report is the ILO World Employment Social Outlook</w:t>
      </w:r>
      <w:r w:rsidR="00B14D19" w:rsidRPr="000E0C38">
        <w:t>,</w:t>
      </w:r>
      <w:r w:rsidRPr="000E0C38">
        <w:t xml:space="preserve"> which itself uses the ILO Trends econometric models, October 2014. The ILO Research Department actively maintains econometric models which are used to produce estimates of labour market indicators in the countries and years for which country-reported data are unavailable. These give the ILO the ability to analyse global and regional estimates of key labour market indicators and trends.</w:t>
      </w:r>
    </w:p>
    <w:p w14:paraId="16D70063" w14:textId="3CAB712D" w:rsidR="00C600C2" w:rsidRPr="000E0C38" w:rsidRDefault="00C600C2" w:rsidP="00987F10">
      <w:pPr>
        <w:pStyle w:val="BodyText"/>
        <w:spacing w:after="120" w:line="276" w:lineRule="auto"/>
        <w:jc w:val="both"/>
      </w:pPr>
      <w:r w:rsidRPr="000E0C38">
        <w:t xml:space="preserve">The principal </w:t>
      </w:r>
      <w:r w:rsidR="00F74325" w:rsidRPr="000E0C38">
        <w:t xml:space="preserve">source of information for the ILO </w:t>
      </w:r>
      <w:r w:rsidR="000B2E21" w:rsidRPr="000E0C38">
        <w:t xml:space="preserve">Trends econometric models </w:t>
      </w:r>
      <w:r w:rsidR="00F74325" w:rsidRPr="000E0C38">
        <w:t>database</w:t>
      </w:r>
      <w:r w:rsidRPr="000E0C38">
        <w:t xml:space="preserve"> is the ILO Key Indicators of the Labour Market (KILM), 8</w:t>
      </w:r>
      <w:r w:rsidRPr="000E0C38">
        <w:rPr>
          <w:vertAlign w:val="superscript"/>
        </w:rPr>
        <w:t>th</w:t>
      </w:r>
      <w:r w:rsidRPr="000E0C38">
        <w:t xml:space="preserve"> edition. </w:t>
      </w:r>
      <w:r w:rsidR="000B2E21" w:rsidRPr="000E0C38">
        <w:t>Data is complemented with ILOSTAT and</w:t>
      </w:r>
      <w:r w:rsidRPr="000E0C38">
        <w:t xml:space="preserve"> ILO</w:t>
      </w:r>
      <w:r w:rsidR="000B2E21" w:rsidRPr="000E0C38">
        <w:t>s</w:t>
      </w:r>
      <w:r w:rsidRPr="000E0C38">
        <w:t xml:space="preserve"> Short-Term Indicators (STI). For India, tabulations based on data from the National Sample Survey Organization (NSSO) survey on the Employment and Unemployment Situation in India were used. Data based on the most recent labour force survey conducted in Bangladesh were also considered.</w:t>
      </w:r>
    </w:p>
    <w:p w14:paraId="334C50D9" w14:textId="7DA4B134" w:rsidR="00C600C2" w:rsidRPr="000E0C38" w:rsidRDefault="00C600C2" w:rsidP="00987F10">
      <w:pPr>
        <w:pStyle w:val="BodyText"/>
        <w:spacing w:after="120" w:line="276" w:lineRule="auto"/>
        <w:jc w:val="both"/>
      </w:pPr>
      <w:r w:rsidRPr="000E0C38">
        <w:t xml:space="preserve">Employment in the construction sector captures the distribution of the formal and informally employed population in the construction sector. This is done by capturing information from labour market surveys instead of using exclusively official taxing registries. However, the capacity to include the entire informal sector is </w:t>
      </w:r>
      <w:r w:rsidR="00B14D19" w:rsidRPr="000E0C38">
        <w:t>often</w:t>
      </w:r>
      <w:r w:rsidRPr="000E0C38">
        <w:t xml:space="preserve"> limited in LICs. </w:t>
      </w:r>
    </w:p>
    <w:p w14:paraId="2B304C02" w14:textId="429F8B97" w:rsidR="00AD23BB" w:rsidRPr="000E0C38" w:rsidRDefault="00C600C2" w:rsidP="00987F10">
      <w:pPr>
        <w:pStyle w:val="BodyText"/>
        <w:spacing w:after="120" w:line="276" w:lineRule="auto"/>
        <w:jc w:val="both"/>
      </w:pPr>
      <w:r w:rsidRPr="000E0C38">
        <w:t xml:space="preserve">Construction is defined according to </w:t>
      </w:r>
      <w:r w:rsidR="00B14D19" w:rsidRPr="000E0C38">
        <w:t>the UN’s International Standard Industrial Classification of All Economic Activities</w:t>
      </w:r>
      <w:r w:rsidRPr="000E0C38">
        <w:t>. Such category includes site preparation activities, building of complete construction or parts thereof, civil engineering, building installation and the building completion and renting of construction or demolition equipment with an operator.</w:t>
      </w:r>
      <w:r w:rsidR="00B14D19" w:rsidRPr="000E0C38">
        <w:rPr>
          <w:rStyle w:val="FootnoteReference"/>
        </w:rPr>
        <w:footnoteReference w:id="3"/>
      </w:r>
      <w:r w:rsidRPr="000E0C38">
        <w:t xml:space="preserve"> This definition does not include employment in the construction supply chains such as mining and transportation</w:t>
      </w:r>
      <w:r w:rsidR="00AD23BB" w:rsidRPr="000E0C38">
        <w:t>.</w:t>
      </w:r>
    </w:p>
    <w:p w14:paraId="0EC6870F" w14:textId="03D1E0E5" w:rsidR="00AD23BB" w:rsidRPr="000E0C38" w:rsidRDefault="00AD23BB" w:rsidP="00987F10">
      <w:pPr>
        <w:pStyle w:val="BodyText"/>
        <w:spacing w:after="120" w:line="276" w:lineRule="auto"/>
        <w:jc w:val="both"/>
        <w:rPr>
          <w:b/>
        </w:rPr>
      </w:pPr>
      <w:r w:rsidRPr="000E0C38">
        <w:rPr>
          <w:b/>
        </w:rPr>
        <w:t>Limitations</w:t>
      </w:r>
    </w:p>
    <w:p w14:paraId="227ED926" w14:textId="7F79BCDE" w:rsidR="00AD23BB" w:rsidRPr="00987F10" w:rsidRDefault="00DD4BAD" w:rsidP="00987F10">
      <w:pPr>
        <w:pStyle w:val="BodyText"/>
        <w:spacing w:after="120" w:line="276" w:lineRule="auto"/>
        <w:jc w:val="both"/>
        <w:rPr>
          <w:b/>
        </w:rPr>
      </w:pPr>
      <w:r w:rsidRPr="000E0C38">
        <w:t xml:space="preserve">This study was undertaken over a short timeframe </w:t>
      </w:r>
      <w:r w:rsidR="00862C01" w:rsidRPr="000E0C38">
        <w:t>using</w:t>
      </w:r>
      <w:r w:rsidRPr="000E0C38">
        <w:t xml:space="preserve"> desk research</w:t>
      </w:r>
      <w:r w:rsidR="003F4BAB" w:rsidRPr="000E0C38">
        <w:t>,</w:t>
      </w:r>
      <w:r w:rsidRPr="000E0C38">
        <w:t xml:space="preserve"> with limited </w:t>
      </w:r>
      <w:r w:rsidR="00862C01" w:rsidRPr="000E0C38">
        <w:t>resource</w:t>
      </w:r>
      <w:r w:rsidR="003F4BAB" w:rsidRPr="000E0C38">
        <w:t>s available</w:t>
      </w:r>
      <w:r w:rsidRPr="000E0C38">
        <w:t xml:space="preserve"> to engage at country level. It </w:t>
      </w:r>
      <w:r w:rsidR="00862C01" w:rsidRPr="000E0C38">
        <w:t xml:space="preserve">offers </w:t>
      </w:r>
      <w:r w:rsidRPr="000E0C38">
        <w:t xml:space="preserve">a high-level </w:t>
      </w:r>
      <w:r w:rsidR="00C972D1" w:rsidRPr="000E0C38">
        <w:t xml:space="preserve">snapshot of current evidence, </w:t>
      </w:r>
      <w:r w:rsidR="00862C01" w:rsidRPr="000E0C38">
        <w:t xml:space="preserve">rather than seeking to </w:t>
      </w:r>
      <w:r w:rsidRPr="000E0C38">
        <w:t xml:space="preserve">inform </w:t>
      </w:r>
      <w:r w:rsidR="008054C7" w:rsidRPr="000E0C38">
        <w:t>detailed</w:t>
      </w:r>
      <w:r w:rsidRPr="000E0C38">
        <w:t xml:space="preserve"> programme design</w:t>
      </w:r>
      <w:r w:rsidR="00862C01" w:rsidRPr="000E0C38">
        <w:t xml:space="preserve"> or funding decisions</w:t>
      </w:r>
      <w:r w:rsidRPr="000E0C38">
        <w:t xml:space="preserve">. More </w:t>
      </w:r>
      <w:r w:rsidR="00862C01" w:rsidRPr="000E0C38">
        <w:t>significant resources</w:t>
      </w:r>
      <w:r w:rsidRPr="000E0C38">
        <w:t xml:space="preserve"> would be required at country level to assess the robustness of </w:t>
      </w:r>
      <w:r w:rsidR="008054C7" w:rsidRPr="000E0C38">
        <w:t xml:space="preserve">national </w:t>
      </w:r>
      <w:r w:rsidRPr="000E0C38">
        <w:t xml:space="preserve">data, to identify the underlying causes of labour market challenges, and to </w:t>
      </w:r>
      <w:r w:rsidR="00862C01" w:rsidRPr="000E0C38">
        <w:t>weigh</w:t>
      </w:r>
      <w:r w:rsidRPr="000E0C38">
        <w:t xml:space="preserve"> the potential </w:t>
      </w:r>
      <w:r w:rsidR="00862C01" w:rsidRPr="000E0C38">
        <w:t xml:space="preserve">costs and </w:t>
      </w:r>
      <w:r w:rsidRPr="000E0C38">
        <w:t xml:space="preserve">benefits of </w:t>
      </w:r>
      <w:r w:rsidR="00C972D1" w:rsidRPr="000E0C38">
        <w:t>engagement</w:t>
      </w:r>
      <w:r w:rsidR="009A6536">
        <w:t>.</w:t>
      </w:r>
      <w:r w:rsidRPr="000E0C38">
        <w:t xml:space="preserve"> A number of methodological caveats should</w:t>
      </w:r>
      <w:r w:rsidR="008054C7" w:rsidRPr="000E0C38">
        <w:t xml:space="preserve"> also</w:t>
      </w:r>
      <w:r w:rsidRPr="000E0C38">
        <w:t xml:space="preserve"> be noted</w:t>
      </w:r>
      <w:r w:rsidR="00695390" w:rsidRPr="000E0C38">
        <w:t xml:space="preserve">, particularly relating to </w:t>
      </w:r>
      <w:r w:rsidR="008054C7" w:rsidRPr="000E0C38">
        <w:t xml:space="preserve">estimates of economic returns and </w:t>
      </w:r>
      <w:r w:rsidR="00695390" w:rsidRPr="000E0C38">
        <w:t>value for money</w:t>
      </w:r>
      <w:r w:rsidR="00C972D1" w:rsidRPr="000E0C38">
        <w:t xml:space="preserve"> (VfM)</w:t>
      </w:r>
      <w:r w:rsidR="00695390" w:rsidRPr="000E0C38">
        <w:t xml:space="preserve"> associated with construction</w:t>
      </w:r>
      <w:r w:rsidR="008054C7" w:rsidRPr="000E0C38">
        <w:t xml:space="preserve"> employment</w:t>
      </w:r>
      <w:r w:rsidR="00695390" w:rsidRPr="000E0C38">
        <w:t xml:space="preserve"> interventions (employment, economic effects)</w:t>
      </w:r>
      <w:r w:rsidRPr="000E0C38">
        <w:t>:</w:t>
      </w:r>
    </w:p>
    <w:p w14:paraId="11C65101" w14:textId="2B67B459" w:rsidR="00C600C2" w:rsidRPr="000E0C38" w:rsidRDefault="00A84C27" w:rsidP="00987F10">
      <w:pPr>
        <w:pStyle w:val="BodyText"/>
        <w:numPr>
          <w:ilvl w:val="0"/>
          <w:numId w:val="30"/>
        </w:numPr>
        <w:spacing w:after="0" w:line="276" w:lineRule="auto"/>
        <w:ind w:left="714" w:hanging="357"/>
        <w:jc w:val="both"/>
      </w:pPr>
      <w:r w:rsidRPr="000E0C38">
        <w:t xml:space="preserve">The evidence base for economic and employment effects of investment in </w:t>
      </w:r>
      <w:r w:rsidR="00C5314A" w:rsidRPr="000E0C38">
        <w:t xml:space="preserve">the construction sector </w:t>
      </w:r>
      <w:r w:rsidRPr="000E0C38">
        <w:t xml:space="preserve">in LICs is </w:t>
      </w:r>
      <w:r w:rsidR="00C81D34" w:rsidRPr="000E0C38">
        <w:t>very</w:t>
      </w:r>
      <w:r w:rsidRPr="000E0C38">
        <w:t xml:space="preserve"> limited. ILO analysis</w:t>
      </w:r>
      <w:r w:rsidR="00C81D34" w:rsidRPr="000E0C38">
        <w:t xml:space="preserve"> used in this report</w:t>
      </w:r>
      <w:r w:rsidRPr="000E0C38">
        <w:t xml:space="preserve"> draws primarily upon a database of 4</w:t>
      </w:r>
      <w:r w:rsidR="00C81D34" w:rsidRPr="000E0C38">
        <w:t>5</w:t>
      </w:r>
      <w:r w:rsidRPr="000E0C38">
        <w:t xml:space="preserve"> EU and other </w:t>
      </w:r>
      <w:r w:rsidR="00C81D34" w:rsidRPr="000E0C38">
        <w:t>large economies</w:t>
      </w:r>
      <w:r w:rsidR="00B621D5" w:rsidRPr="000E0C38">
        <w:t>, of which 30 are HICs</w:t>
      </w:r>
      <w:r w:rsidR="00C5314A" w:rsidRPr="000E0C38">
        <w:t xml:space="preserve"> and </w:t>
      </w:r>
      <w:r w:rsidR="00C6528B" w:rsidRPr="000E0C38">
        <w:t>most others</w:t>
      </w:r>
      <w:r w:rsidR="00C5314A" w:rsidRPr="000E0C38">
        <w:t xml:space="preserve"> </w:t>
      </w:r>
      <w:r w:rsidR="00713B39" w:rsidRPr="000E0C38">
        <w:t xml:space="preserve">are </w:t>
      </w:r>
      <w:r w:rsidR="00C5314A" w:rsidRPr="000E0C38">
        <w:t>MICs</w:t>
      </w:r>
      <w:r w:rsidRPr="000E0C38">
        <w:t xml:space="preserve">. Only </w:t>
      </w:r>
      <w:r w:rsidR="00B621D5" w:rsidRPr="000E0C38">
        <w:t>one</w:t>
      </w:r>
      <w:r w:rsidRPr="000E0C38">
        <w:t xml:space="preserve"> LIC</w:t>
      </w:r>
      <w:r w:rsidR="00C81D34" w:rsidRPr="000E0C38">
        <w:t xml:space="preserve"> (Niger) is </w:t>
      </w:r>
      <w:r w:rsidRPr="000E0C38">
        <w:t>included in the analysis</w:t>
      </w:r>
      <w:r w:rsidR="00987F10">
        <w:t xml:space="preserve">. </w:t>
      </w:r>
      <w:r w:rsidR="00B621D5" w:rsidRPr="000E0C38">
        <w:t>Six</w:t>
      </w:r>
      <w:r w:rsidR="00C81D34" w:rsidRPr="000E0C38">
        <w:t xml:space="preserve"> LMICs (China, India, Indonesia, Morocco, Paraguay and Sri</w:t>
      </w:r>
      <w:r w:rsidR="00B621D5" w:rsidRPr="000E0C38">
        <w:t xml:space="preserve"> L</w:t>
      </w:r>
      <w:r w:rsidR="00C81D34" w:rsidRPr="000E0C38">
        <w:t>anka)</w:t>
      </w:r>
      <w:r w:rsidR="00B621D5" w:rsidRPr="000E0C38">
        <w:t xml:space="preserve"> are included</w:t>
      </w:r>
      <w:r w:rsidR="00C81D34" w:rsidRPr="000E0C38">
        <w:t xml:space="preserve">, although </w:t>
      </w:r>
      <w:r w:rsidR="00832943" w:rsidRPr="000E0C38">
        <w:t>some</w:t>
      </w:r>
      <w:r w:rsidR="00C81D34" w:rsidRPr="000E0C38">
        <w:t xml:space="preserve"> have </w:t>
      </w:r>
      <w:r w:rsidR="00B621D5" w:rsidRPr="000E0C38">
        <w:t>since</w:t>
      </w:r>
      <w:r w:rsidR="00C81D34" w:rsidRPr="000E0C38">
        <w:t xml:space="preserve"> graduated to UMIC status</w:t>
      </w:r>
      <w:r w:rsidR="008054C7" w:rsidRPr="000E0C38">
        <w:t>. Several additional individual country studies do exist (Ghana, Sri Lanka, Pakistan), but these are limited in scope and of varying quality</w:t>
      </w:r>
      <w:r w:rsidR="009A6536">
        <w:t>.</w:t>
      </w:r>
    </w:p>
    <w:p w14:paraId="1DB3E3F6" w14:textId="5A1A35D8" w:rsidR="00832943" w:rsidRPr="000E0C38" w:rsidRDefault="00832943" w:rsidP="00987F10">
      <w:pPr>
        <w:pStyle w:val="BodyText"/>
        <w:numPr>
          <w:ilvl w:val="0"/>
          <w:numId w:val="30"/>
        </w:numPr>
        <w:spacing w:after="0" w:line="276" w:lineRule="auto"/>
        <w:ind w:left="714" w:hanging="357"/>
        <w:jc w:val="both"/>
      </w:pPr>
      <w:r w:rsidRPr="000E0C38">
        <w:t xml:space="preserve">ILO </w:t>
      </w:r>
      <w:r w:rsidR="00A84C27" w:rsidRPr="000E0C38">
        <w:t xml:space="preserve">Data sets used for economic and employment </w:t>
      </w:r>
      <w:r w:rsidRPr="000E0C38">
        <w:t xml:space="preserve">effects </w:t>
      </w:r>
      <w:r w:rsidR="00A84C27" w:rsidRPr="000E0C38">
        <w:t xml:space="preserve">are relatively old (1995-2009) and do not reflect more recent </w:t>
      </w:r>
      <w:r w:rsidR="00B621D5" w:rsidRPr="000E0C38">
        <w:t>developments or trends</w:t>
      </w:r>
      <w:r w:rsidR="00987F10">
        <w:t>.</w:t>
      </w:r>
      <w:r w:rsidR="00695390" w:rsidRPr="000E0C38">
        <w:t xml:space="preserve"> </w:t>
      </w:r>
      <w:r w:rsidR="008054C7" w:rsidRPr="000E0C38">
        <w:t xml:space="preserve">Other country level studies </w:t>
      </w:r>
      <w:r w:rsidR="002638F1" w:rsidRPr="000E0C38">
        <w:t xml:space="preserve">similarly tend to </w:t>
      </w:r>
      <w:r w:rsidR="008054C7" w:rsidRPr="000E0C38">
        <w:t xml:space="preserve">draw on historic data (10 </w:t>
      </w:r>
      <w:r w:rsidR="006A6F7C" w:rsidRPr="000E0C38">
        <w:t>y</w:t>
      </w:r>
      <w:r w:rsidR="000E0C38" w:rsidRPr="000E0C38">
        <w:t>ea</w:t>
      </w:r>
      <w:r w:rsidR="006A6F7C" w:rsidRPr="000E0C38">
        <w:t>rs</w:t>
      </w:r>
      <w:r w:rsidR="000E0C38" w:rsidRPr="000E0C38">
        <w:t xml:space="preserve"> or more</w:t>
      </w:r>
      <w:r w:rsidR="008054C7" w:rsidRPr="000E0C38">
        <w:t xml:space="preserve">). </w:t>
      </w:r>
      <w:r w:rsidR="00695390" w:rsidRPr="000E0C38">
        <w:t>More recent analysis is not available</w:t>
      </w:r>
      <w:r w:rsidR="009A6536">
        <w:t>.</w:t>
      </w:r>
    </w:p>
    <w:p w14:paraId="339204EB" w14:textId="120071A1" w:rsidR="00832943" w:rsidRPr="000E0C38" w:rsidRDefault="00832943" w:rsidP="00987F10">
      <w:pPr>
        <w:pStyle w:val="BodyText"/>
        <w:numPr>
          <w:ilvl w:val="0"/>
          <w:numId w:val="30"/>
        </w:numPr>
        <w:spacing w:after="0" w:line="276" w:lineRule="auto"/>
        <w:ind w:left="714" w:hanging="357"/>
        <w:jc w:val="both"/>
      </w:pPr>
      <w:r w:rsidRPr="000E0C38">
        <w:t xml:space="preserve">Economic and employment </w:t>
      </w:r>
      <w:r w:rsidR="00C6528B" w:rsidRPr="000E0C38">
        <w:t xml:space="preserve">effects </w:t>
      </w:r>
      <w:r w:rsidR="00695390" w:rsidRPr="000E0C38">
        <w:t xml:space="preserve">are calculated using </w:t>
      </w:r>
      <w:r w:rsidRPr="000E0C38">
        <w:t>econometric input-output</w:t>
      </w:r>
      <w:r w:rsidR="002638F1" w:rsidRPr="000E0C38">
        <w:t xml:space="preserve"> (I-O)</w:t>
      </w:r>
      <w:r w:rsidRPr="000E0C38">
        <w:t xml:space="preserve"> models. </w:t>
      </w:r>
      <w:r w:rsidR="00E376E9" w:rsidRPr="000E0C38">
        <w:t>I-O models</w:t>
      </w:r>
      <w:r w:rsidRPr="000E0C38">
        <w:t xml:space="preserve"> are based on a simplified model of the economy,</w:t>
      </w:r>
      <w:r w:rsidR="000E0C38" w:rsidRPr="000E0C38">
        <w:t xml:space="preserve"> and</w:t>
      </w:r>
      <w:r w:rsidRPr="000E0C38">
        <w:t xml:space="preserve"> </w:t>
      </w:r>
      <w:r w:rsidR="00E376E9" w:rsidRPr="000E0C38">
        <w:t xml:space="preserve">are </w:t>
      </w:r>
      <w:r w:rsidRPr="000E0C38">
        <w:t xml:space="preserve">subject to a </w:t>
      </w:r>
      <w:r w:rsidR="002638F1" w:rsidRPr="000E0C38">
        <w:t xml:space="preserve">large </w:t>
      </w:r>
      <w:r w:rsidRPr="000E0C38">
        <w:t>number of assumptions</w:t>
      </w:r>
      <w:r w:rsidR="00C6528B" w:rsidRPr="000E0C38">
        <w:t>.</w:t>
      </w:r>
      <w:r w:rsidR="00C6528B" w:rsidRPr="000E0C38">
        <w:rPr>
          <w:rStyle w:val="FootnoteReference"/>
        </w:rPr>
        <w:footnoteReference w:id="4"/>
      </w:r>
      <w:r w:rsidR="00C6528B" w:rsidRPr="000E0C38">
        <w:t xml:space="preserve">  They </w:t>
      </w:r>
      <w:r w:rsidR="00E376E9" w:rsidRPr="000E0C38">
        <w:t xml:space="preserve">are more suitable </w:t>
      </w:r>
      <w:r w:rsidRPr="000E0C38">
        <w:t>for high level trend analysis than detailed country assessment</w:t>
      </w:r>
      <w:r w:rsidR="009A6536">
        <w:t>.</w:t>
      </w:r>
    </w:p>
    <w:p w14:paraId="3A991C81" w14:textId="36B6E543" w:rsidR="00C6528B" w:rsidRPr="000E0C38" w:rsidRDefault="00832943" w:rsidP="00987F10">
      <w:pPr>
        <w:pStyle w:val="BodyText"/>
        <w:numPr>
          <w:ilvl w:val="0"/>
          <w:numId w:val="30"/>
        </w:numPr>
        <w:spacing w:after="0" w:line="276" w:lineRule="auto"/>
        <w:ind w:left="714" w:hanging="357"/>
        <w:jc w:val="both"/>
      </w:pPr>
      <w:r w:rsidRPr="000E0C38">
        <w:t xml:space="preserve">ILO data sets </w:t>
      </w:r>
      <w:r w:rsidR="00E376E9" w:rsidRPr="000E0C38">
        <w:t xml:space="preserve">on the nature of construction employment </w:t>
      </w:r>
      <w:r w:rsidRPr="000E0C38">
        <w:t xml:space="preserve">are </w:t>
      </w:r>
      <w:r w:rsidR="002638F1" w:rsidRPr="000E0C38">
        <w:t xml:space="preserve">largely </w:t>
      </w:r>
      <w:r w:rsidRPr="000E0C38">
        <w:t xml:space="preserve">dependent </w:t>
      </w:r>
      <w:r w:rsidR="00E376E9" w:rsidRPr="000E0C38">
        <w:t xml:space="preserve">on national </w:t>
      </w:r>
      <w:r w:rsidR="00713B39" w:rsidRPr="000E0C38">
        <w:t>data sets prepared by government statistical office</w:t>
      </w:r>
      <w:r w:rsidR="00695390" w:rsidRPr="000E0C38">
        <w:t>s</w:t>
      </w:r>
      <w:r w:rsidR="00987F10">
        <w:t>.</w:t>
      </w:r>
      <w:r w:rsidR="00713B39" w:rsidRPr="000E0C38">
        <w:t xml:space="preserve"> </w:t>
      </w:r>
      <w:r w:rsidR="00E376E9" w:rsidRPr="000E0C38">
        <w:t>Th</w:t>
      </w:r>
      <w:r w:rsidR="00713B39" w:rsidRPr="000E0C38">
        <w:t xml:space="preserve">ese </w:t>
      </w:r>
      <w:r w:rsidR="00695390" w:rsidRPr="000E0C38">
        <w:t>tend to</w:t>
      </w:r>
      <w:r w:rsidR="00E376E9" w:rsidRPr="000E0C38">
        <w:t xml:space="preserve"> be of varying quality</w:t>
      </w:r>
      <w:r w:rsidR="00695390" w:rsidRPr="000E0C38">
        <w:t xml:space="preserve"> and consistency</w:t>
      </w:r>
      <w:r w:rsidR="00E376E9" w:rsidRPr="000E0C38">
        <w:t>, particularly in LICs</w:t>
      </w:r>
      <w:r w:rsidR="002638F1" w:rsidRPr="000E0C38">
        <w:t xml:space="preserve">, and </w:t>
      </w:r>
      <w:r w:rsidR="00695390" w:rsidRPr="000E0C38">
        <w:t xml:space="preserve">interpolation and approximation methods are </w:t>
      </w:r>
      <w:r w:rsidR="002638F1" w:rsidRPr="000E0C38">
        <w:t>often</w:t>
      </w:r>
      <w:r w:rsidR="00C972D1" w:rsidRPr="000E0C38">
        <w:t xml:space="preserve"> used</w:t>
      </w:r>
      <w:r w:rsidR="009A6536">
        <w:t>.</w:t>
      </w:r>
    </w:p>
    <w:p w14:paraId="6781571B" w14:textId="3974D4D4" w:rsidR="00695390" w:rsidRPr="000E0C38" w:rsidRDefault="00695390" w:rsidP="00987F10">
      <w:pPr>
        <w:pStyle w:val="BodyText"/>
        <w:numPr>
          <w:ilvl w:val="0"/>
          <w:numId w:val="30"/>
        </w:numPr>
        <w:spacing w:after="0" w:line="276" w:lineRule="auto"/>
        <w:ind w:left="714" w:hanging="357"/>
        <w:jc w:val="both"/>
      </w:pPr>
      <w:r w:rsidRPr="000E0C38">
        <w:t xml:space="preserve">There are no global indicator sets providing a consistent measure of the importance of construction within </w:t>
      </w:r>
      <w:r w:rsidR="002638F1" w:rsidRPr="000E0C38">
        <w:t>individual</w:t>
      </w:r>
      <w:r w:rsidRPr="000E0C38">
        <w:t xml:space="preserve"> economies, nor the scale of potential</w:t>
      </w:r>
      <w:r w:rsidR="009A6536">
        <w:t xml:space="preserve"> forward and backward linkages.</w:t>
      </w:r>
    </w:p>
    <w:p w14:paraId="0282D09F" w14:textId="4EE9855E" w:rsidR="00C6528B" w:rsidRPr="000E0C38" w:rsidRDefault="00C6528B" w:rsidP="00987F10">
      <w:pPr>
        <w:pStyle w:val="BodyText"/>
        <w:numPr>
          <w:ilvl w:val="0"/>
          <w:numId w:val="30"/>
        </w:numPr>
        <w:spacing w:after="0" w:line="276" w:lineRule="auto"/>
        <w:ind w:left="714" w:hanging="357"/>
        <w:jc w:val="both"/>
      </w:pPr>
      <w:r w:rsidRPr="000E0C38">
        <w:t xml:space="preserve">While ILO data sets allow some insight into the nature of employment and </w:t>
      </w:r>
      <w:r w:rsidR="00987F10" w:rsidRPr="000E0C38">
        <w:t>labour</w:t>
      </w:r>
      <w:r w:rsidRPr="000E0C38">
        <w:t xml:space="preserve"> conditions</w:t>
      </w:r>
      <w:r w:rsidR="00C972D1" w:rsidRPr="000E0C38">
        <w:t xml:space="preserve"> at country level</w:t>
      </w:r>
      <w:r w:rsidR="00987F10">
        <w:t xml:space="preserve">, they do not explain </w:t>
      </w:r>
      <w:r w:rsidRPr="000E0C38">
        <w:t>underlying causes of these trends (structural, cultural, economic)</w:t>
      </w:r>
      <w:r w:rsidR="009A6536">
        <w:t>.</w:t>
      </w:r>
    </w:p>
    <w:p w14:paraId="4E9E8CB9" w14:textId="638ACB5D" w:rsidR="00DD4BAD" w:rsidRPr="000E0C38" w:rsidRDefault="00DD4BAD" w:rsidP="00987F10">
      <w:pPr>
        <w:pStyle w:val="BodyText"/>
        <w:numPr>
          <w:ilvl w:val="0"/>
          <w:numId w:val="30"/>
        </w:numPr>
        <w:spacing w:after="0" w:line="276" w:lineRule="auto"/>
        <w:ind w:left="714" w:hanging="357"/>
        <w:jc w:val="both"/>
      </w:pPr>
      <w:r w:rsidRPr="000E0C38">
        <w:t xml:space="preserve">Case studies </w:t>
      </w:r>
      <w:r w:rsidR="00C972D1" w:rsidRPr="000E0C38">
        <w:t xml:space="preserve">measuring the economic benefits of </w:t>
      </w:r>
      <w:r w:rsidRPr="000E0C38">
        <w:t xml:space="preserve">construction employment </w:t>
      </w:r>
      <w:r w:rsidR="00C972D1" w:rsidRPr="000E0C38">
        <w:t xml:space="preserve">interventions are </w:t>
      </w:r>
      <w:r w:rsidRPr="000E0C38">
        <w:t>limited.</w:t>
      </w:r>
    </w:p>
    <w:p w14:paraId="5A875140" w14:textId="68046FE9" w:rsidR="00DD4BAD" w:rsidRPr="000E0C38" w:rsidRDefault="00DD4BAD" w:rsidP="000E0C38">
      <w:pPr>
        <w:pStyle w:val="BodyText"/>
        <w:spacing w:after="120" w:line="276" w:lineRule="auto"/>
        <w:jc w:val="both"/>
        <w:sectPr w:rsidR="00DD4BAD" w:rsidRPr="000E0C38" w:rsidSect="008F4768">
          <w:headerReference w:type="default" r:id="rId16"/>
          <w:pgSz w:w="11906" w:h="16838"/>
          <w:pgMar w:top="1417" w:right="1133" w:bottom="1276" w:left="1276" w:header="708" w:footer="708" w:gutter="0"/>
          <w:cols w:space="708"/>
          <w:docGrid w:linePitch="360"/>
        </w:sectPr>
      </w:pPr>
    </w:p>
    <w:p w14:paraId="001E4160" w14:textId="70F400DC" w:rsidR="00EA15D0" w:rsidRPr="000E0C38" w:rsidRDefault="003B5B06" w:rsidP="00E2041C">
      <w:pPr>
        <w:pStyle w:val="Heading1"/>
        <w:framePr w:h="1405" w:hRule="exact" w:wrap="around" w:y="12"/>
        <w:rPr>
          <w:rFonts w:ascii="Arial" w:eastAsia="SimSun" w:hAnsi="Arial" w:cs="Arial"/>
          <w:sz w:val="20"/>
          <w:szCs w:val="20"/>
          <w:lang w:eastAsia="zh-CN"/>
        </w:rPr>
      </w:pPr>
      <w:bookmarkStart w:id="5" w:name="_Toc498019385"/>
      <w:bookmarkEnd w:id="4"/>
      <w:r w:rsidRPr="000E0C38">
        <w:lastRenderedPageBreak/>
        <w:t>1</w:t>
      </w:r>
      <w:r w:rsidR="00471F32" w:rsidRPr="000E0C38">
        <w:t>.</w:t>
      </w:r>
      <w:r w:rsidRPr="000E0C38">
        <w:t xml:space="preserve"> </w:t>
      </w:r>
      <w:bookmarkStart w:id="6" w:name="_Toc492000451"/>
      <w:r w:rsidRPr="000E0C38">
        <w:t>What proportion of the workforce is employed in the construction industry in DFID focus countries?</w:t>
      </w:r>
      <w:bookmarkEnd w:id="5"/>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1EE" w:themeFill="text2" w:themeFillTint="33"/>
        <w:tblLook w:val="04A0" w:firstRow="1" w:lastRow="0" w:firstColumn="1" w:lastColumn="0" w:noHBand="0" w:noVBand="1"/>
      </w:tblPr>
      <w:tblGrid>
        <w:gridCol w:w="9497"/>
      </w:tblGrid>
      <w:tr w:rsidR="00DA695F" w:rsidRPr="000E0C38" w14:paraId="04C2F244" w14:textId="77777777" w:rsidTr="00432BEF">
        <w:trPr>
          <w:trHeight w:val="3393"/>
        </w:trPr>
        <w:tc>
          <w:tcPr>
            <w:tcW w:w="9713" w:type="dxa"/>
            <w:shd w:val="clear" w:color="auto" w:fill="CBD1EE" w:themeFill="text2" w:themeFillTint="33"/>
          </w:tcPr>
          <w:p w14:paraId="62E3944B" w14:textId="77777777" w:rsidR="00DA695F" w:rsidRPr="000E0C38" w:rsidRDefault="00DA695F" w:rsidP="00EE4A7F">
            <w:pPr>
              <w:pStyle w:val="BodyText"/>
              <w:spacing w:before="40" w:after="120" w:line="276" w:lineRule="auto"/>
              <w:rPr>
                <w:rFonts w:ascii="Times New Roman" w:hAnsi="Times New Roman" w:cs="Times New Roman"/>
                <w:b/>
                <w:i/>
                <w:sz w:val="28"/>
                <w:szCs w:val="24"/>
                <w:lang w:eastAsia="zh-CN"/>
              </w:rPr>
            </w:pPr>
            <w:r w:rsidRPr="000E0C38">
              <w:rPr>
                <w:rFonts w:ascii="Times New Roman" w:hAnsi="Times New Roman" w:cs="Times New Roman"/>
                <w:b/>
                <w:i/>
                <w:sz w:val="28"/>
                <w:szCs w:val="24"/>
                <w:lang w:eastAsia="zh-CN"/>
              </w:rPr>
              <w:t>Key Findings</w:t>
            </w:r>
          </w:p>
          <w:p w14:paraId="4FBCEF64" w14:textId="77777777" w:rsidR="00DA695F" w:rsidRPr="000E0C38" w:rsidRDefault="00DA695F" w:rsidP="00831B36">
            <w:pPr>
              <w:pStyle w:val="BodyText"/>
              <w:numPr>
                <w:ilvl w:val="0"/>
                <w:numId w:val="25"/>
              </w:numPr>
              <w:spacing w:after="0" w:line="276" w:lineRule="auto"/>
            </w:pPr>
            <w:r w:rsidRPr="000E0C38">
              <w:t>The main areas of construction growth in DFID focus countries are infrastructure building in transport, energy and social infrastructure.</w:t>
            </w:r>
          </w:p>
          <w:p w14:paraId="1E38A99E" w14:textId="77777777" w:rsidR="00DA695F" w:rsidRPr="000E0C38" w:rsidRDefault="00DA695F" w:rsidP="00831B36">
            <w:pPr>
              <w:pStyle w:val="BodyText"/>
              <w:numPr>
                <w:ilvl w:val="0"/>
                <w:numId w:val="25"/>
              </w:numPr>
              <w:spacing w:after="0" w:line="276" w:lineRule="auto"/>
              <w:rPr>
                <w:rFonts w:eastAsia="SimSun"/>
              </w:rPr>
            </w:pPr>
            <w:r w:rsidRPr="000E0C38">
              <w:rPr>
                <w:rFonts w:eastAsia="SimSun"/>
              </w:rPr>
              <w:t xml:space="preserve">Around 70 million people work in construction in DFID countries of focus, corresponding to an average of 7.6 per cent of the total workforce in these countries. </w:t>
            </w:r>
          </w:p>
          <w:p w14:paraId="6061AE24" w14:textId="1C8D810F" w:rsidR="00DA695F" w:rsidRPr="000E0C38" w:rsidRDefault="00DA695F" w:rsidP="00831B36">
            <w:pPr>
              <w:pStyle w:val="BodyText"/>
              <w:numPr>
                <w:ilvl w:val="0"/>
                <w:numId w:val="25"/>
              </w:numPr>
              <w:spacing w:after="0" w:line="276" w:lineRule="auto"/>
              <w:ind w:left="714" w:hanging="357"/>
              <w:rPr>
                <w:rFonts w:eastAsia="SimSun"/>
              </w:rPr>
            </w:pPr>
            <w:r w:rsidRPr="000E0C38">
              <w:rPr>
                <w:rFonts w:eastAsia="SimSun"/>
              </w:rPr>
              <w:t>Female employment constitutes a small but growing share of employment in DFID focus countries</w:t>
            </w:r>
            <w:r w:rsidR="00665853" w:rsidRPr="000E0C38">
              <w:rPr>
                <w:rFonts w:eastAsia="SimSun"/>
              </w:rPr>
              <w:t>, averaging</w:t>
            </w:r>
            <w:r w:rsidRPr="000E0C38">
              <w:rPr>
                <w:rFonts w:eastAsia="SimSun"/>
              </w:rPr>
              <w:t xml:space="preserve"> 11.2 per cent in 2014. This is higher than the world average of 9.5 per cent.</w:t>
            </w:r>
          </w:p>
          <w:p w14:paraId="2BFC2FCF" w14:textId="7B9CDEFB" w:rsidR="00DA695F" w:rsidRPr="000E0C38" w:rsidRDefault="00DA695F" w:rsidP="00831B36">
            <w:pPr>
              <w:pStyle w:val="BodyText"/>
              <w:numPr>
                <w:ilvl w:val="0"/>
                <w:numId w:val="25"/>
              </w:numPr>
              <w:spacing w:after="120"/>
              <w:ind w:left="714" w:hanging="357"/>
              <w:rPr>
                <w:lang w:eastAsia="zh-CN"/>
              </w:rPr>
            </w:pPr>
            <w:r w:rsidRPr="000E0C38">
              <w:t xml:space="preserve">Most DFID focus countries have smaller than the global average construction sector employment, but are growing at a faster than average rate. The impact of investing in improving construction sector employment in these countries has the potential to reach a growing proportion of the population. </w:t>
            </w:r>
          </w:p>
        </w:tc>
      </w:tr>
    </w:tbl>
    <w:p w14:paraId="1FF46D61" w14:textId="77777777" w:rsidR="009E64CA" w:rsidRPr="000E0C38" w:rsidRDefault="008632F2" w:rsidP="00432BEF">
      <w:pPr>
        <w:spacing w:before="120"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The construction sector plays an important role in the economic development of countries. It currently represents about 13</w:t>
      </w:r>
      <w:r w:rsidR="009E64CA" w:rsidRPr="000E0C38">
        <w:rPr>
          <w:rFonts w:ascii="Arial" w:eastAsia="SimSun" w:hAnsi="Arial" w:cs="Arial"/>
          <w:sz w:val="20"/>
          <w:szCs w:val="20"/>
          <w:lang w:eastAsia="zh-CN"/>
        </w:rPr>
        <w:t xml:space="preserve"> per cent</w:t>
      </w:r>
      <w:r w:rsidRPr="000E0C38">
        <w:rPr>
          <w:rFonts w:ascii="Arial" w:eastAsia="SimSun" w:hAnsi="Arial" w:cs="Arial"/>
          <w:sz w:val="20"/>
          <w:szCs w:val="20"/>
          <w:lang w:eastAsia="zh-CN"/>
        </w:rPr>
        <w:t xml:space="preserve"> of global GDP and this </w:t>
      </w:r>
      <w:r w:rsidR="00000CC0" w:rsidRPr="000E0C38">
        <w:rPr>
          <w:rFonts w:ascii="Arial" w:eastAsia="SimSun" w:hAnsi="Arial" w:cs="Arial"/>
          <w:sz w:val="20"/>
          <w:szCs w:val="20"/>
          <w:lang w:eastAsia="zh-CN"/>
        </w:rPr>
        <w:t>is expected to</w:t>
      </w:r>
      <w:r w:rsidRPr="000E0C38">
        <w:rPr>
          <w:rFonts w:ascii="Arial" w:eastAsia="SimSun" w:hAnsi="Arial" w:cs="Arial"/>
          <w:sz w:val="20"/>
          <w:szCs w:val="20"/>
          <w:lang w:eastAsia="zh-CN"/>
        </w:rPr>
        <w:t xml:space="preserve"> increase to 14.7</w:t>
      </w:r>
      <w:r w:rsidR="009E64CA" w:rsidRPr="000E0C38">
        <w:rPr>
          <w:rFonts w:ascii="Arial" w:eastAsia="SimSun" w:hAnsi="Arial" w:cs="Arial"/>
          <w:sz w:val="20"/>
          <w:szCs w:val="20"/>
          <w:lang w:eastAsia="zh-CN"/>
        </w:rPr>
        <w:t xml:space="preserve"> per cent</w:t>
      </w:r>
      <w:r w:rsidRPr="000E0C38">
        <w:rPr>
          <w:rFonts w:ascii="Arial" w:eastAsia="SimSun" w:hAnsi="Arial" w:cs="Arial"/>
          <w:sz w:val="20"/>
          <w:szCs w:val="20"/>
          <w:lang w:eastAsia="zh-CN"/>
        </w:rPr>
        <w:t xml:space="preserve"> </w:t>
      </w:r>
      <w:r w:rsidR="00000CC0" w:rsidRPr="000E0C38">
        <w:rPr>
          <w:rFonts w:ascii="Arial" w:eastAsia="SimSun" w:hAnsi="Arial" w:cs="Arial"/>
          <w:sz w:val="20"/>
          <w:szCs w:val="20"/>
          <w:lang w:eastAsia="zh-CN"/>
        </w:rPr>
        <w:t>by</w:t>
      </w:r>
      <w:r w:rsidRPr="000E0C38">
        <w:rPr>
          <w:rFonts w:ascii="Arial" w:eastAsia="SimSun" w:hAnsi="Arial" w:cs="Arial"/>
          <w:sz w:val="20"/>
          <w:szCs w:val="20"/>
          <w:lang w:eastAsia="zh-CN"/>
        </w:rPr>
        <w:t xml:space="preserve"> 2030.</w:t>
      </w:r>
      <w:r w:rsidRPr="000E0C38">
        <w:rPr>
          <w:rFonts w:ascii="Arial" w:eastAsia="SimSun" w:hAnsi="Arial" w:cs="Arial"/>
          <w:sz w:val="20"/>
          <w:szCs w:val="20"/>
          <w:vertAlign w:val="superscript"/>
          <w:lang w:eastAsia="zh-CN"/>
        </w:rPr>
        <w:footnoteReference w:id="5"/>
      </w:r>
      <w:r w:rsidRPr="000E0C38">
        <w:rPr>
          <w:rFonts w:ascii="Arial" w:eastAsia="SimSun" w:hAnsi="Arial" w:cs="Arial"/>
          <w:sz w:val="20"/>
          <w:szCs w:val="20"/>
          <w:lang w:eastAsia="zh-CN"/>
        </w:rPr>
        <w:t xml:space="preserve"> </w:t>
      </w:r>
      <w:r w:rsidRPr="000E0C38">
        <w:rPr>
          <w:rFonts w:ascii="Arial" w:eastAsia="SimSun" w:hAnsi="Arial" w:cs="Arial"/>
          <w:i/>
          <w:sz w:val="20"/>
          <w:szCs w:val="20"/>
          <w:lang w:eastAsia="zh-CN"/>
        </w:rPr>
        <w:t>Global Construction 2025</w:t>
      </w:r>
      <w:r w:rsidRPr="000E0C38">
        <w:rPr>
          <w:rFonts w:ascii="Arial" w:eastAsia="SimSun" w:hAnsi="Arial" w:cs="Arial"/>
          <w:sz w:val="20"/>
          <w:szCs w:val="20"/>
          <w:lang w:eastAsia="zh-CN"/>
        </w:rPr>
        <w:t xml:space="preserve"> forecasts that global construction demand will increase to 2025, especially in countries such as China and India </w:t>
      </w:r>
      <w:r w:rsidR="00E2041C"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which will represent 63 per cent of </w:t>
      </w:r>
      <w:r w:rsidR="00000CC0" w:rsidRPr="000E0C38">
        <w:rPr>
          <w:rFonts w:ascii="Arial" w:eastAsia="SimSun" w:hAnsi="Arial" w:cs="Arial"/>
          <w:sz w:val="20"/>
          <w:szCs w:val="20"/>
          <w:lang w:eastAsia="zh-CN"/>
        </w:rPr>
        <w:t xml:space="preserve">global </w:t>
      </w:r>
      <w:r w:rsidRPr="000E0C38">
        <w:rPr>
          <w:rFonts w:ascii="Arial" w:eastAsia="SimSun" w:hAnsi="Arial" w:cs="Arial"/>
          <w:sz w:val="20"/>
          <w:szCs w:val="20"/>
          <w:lang w:eastAsia="zh-CN"/>
        </w:rPr>
        <w:t>construction profits by 2025.</w:t>
      </w:r>
      <w:r w:rsidRPr="000E0C38">
        <w:rPr>
          <w:rFonts w:ascii="Arial" w:eastAsia="SimSun" w:hAnsi="Arial" w:cs="Arial"/>
          <w:sz w:val="20"/>
          <w:szCs w:val="20"/>
          <w:vertAlign w:val="superscript"/>
          <w:lang w:eastAsia="zh-CN"/>
        </w:rPr>
        <w:footnoteReference w:id="6"/>
      </w:r>
      <w:r w:rsidRPr="000E0C38">
        <w:rPr>
          <w:rFonts w:ascii="Arial" w:eastAsia="SimSun" w:hAnsi="Arial" w:cs="Arial"/>
          <w:sz w:val="20"/>
          <w:szCs w:val="20"/>
          <w:lang w:eastAsia="zh-CN"/>
        </w:rPr>
        <w:t xml:space="preserve"> Three of the principal driving forces of growth in construction markets are</w:t>
      </w:r>
      <w:r w:rsidR="00000CC0" w:rsidRPr="000E0C38">
        <w:rPr>
          <w:rFonts w:ascii="Arial" w:eastAsia="SimSun" w:hAnsi="Arial" w:cs="Arial"/>
          <w:sz w:val="20"/>
          <w:szCs w:val="20"/>
          <w:lang w:eastAsia="zh-CN"/>
        </w:rPr>
        <w:t>:</w:t>
      </w:r>
    </w:p>
    <w:p w14:paraId="7F14E153" w14:textId="77777777" w:rsidR="009E64CA" w:rsidRPr="000E0C38" w:rsidRDefault="003B5B06" w:rsidP="00831B36">
      <w:pPr>
        <w:pStyle w:val="ListParagraph"/>
        <w:numPr>
          <w:ilvl w:val="0"/>
          <w:numId w:val="18"/>
        </w:numPr>
        <w:spacing w:after="0"/>
        <w:ind w:left="709" w:hanging="284"/>
        <w:contextualSpacing w:val="0"/>
        <w:rPr>
          <w:rFonts w:ascii="Arial" w:eastAsia="SimSun" w:hAnsi="Arial" w:cs="Arial"/>
          <w:sz w:val="20"/>
          <w:szCs w:val="20"/>
        </w:rPr>
      </w:pPr>
      <w:r w:rsidRPr="000E0C38">
        <w:rPr>
          <w:rFonts w:ascii="Arial" w:eastAsia="SimSun" w:hAnsi="Arial" w:cs="Arial"/>
          <w:b/>
          <w:sz w:val="20"/>
          <w:szCs w:val="20"/>
        </w:rPr>
        <w:t>Government infrastructure spending plans</w:t>
      </w:r>
      <w:r w:rsidR="00000CC0" w:rsidRPr="000E0C38">
        <w:rPr>
          <w:rFonts w:ascii="Arial" w:eastAsia="SimSun" w:hAnsi="Arial" w:cs="Arial"/>
          <w:sz w:val="20"/>
          <w:szCs w:val="20"/>
        </w:rPr>
        <w:t>:</w:t>
      </w:r>
      <w:r w:rsidR="003942EA" w:rsidRPr="000E0C38">
        <w:rPr>
          <w:rFonts w:ascii="Arial" w:eastAsia="SimSun" w:hAnsi="Arial" w:cs="Arial"/>
          <w:sz w:val="20"/>
          <w:szCs w:val="20"/>
        </w:rPr>
        <w:t xml:space="preserve"> </w:t>
      </w:r>
      <w:r w:rsidR="00E03F2F" w:rsidRPr="000E0C38">
        <w:rPr>
          <w:rFonts w:ascii="Arial" w:eastAsia="SimSun" w:hAnsi="Arial" w:cs="Arial"/>
          <w:sz w:val="20"/>
          <w:szCs w:val="20"/>
        </w:rPr>
        <w:t>Around 80 per cent of global infrastructure spending is publicly funded or funded through Public-Private Partnerships.</w:t>
      </w:r>
      <w:r w:rsidR="00E03F2F" w:rsidRPr="000E0C38">
        <w:rPr>
          <w:rStyle w:val="FootnoteReference"/>
          <w:rFonts w:ascii="Arial" w:eastAsia="SimSun" w:hAnsi="Arial" w:cs="Arial"/>
          <w:sz w:val="20"/>
          <w:szCs w:val="20"/>
        </w:rPr>
        <w:footnoteReference w:id="7"/>
      </w:r>
      <w:r w:rsidR="00E03F2F" w:rsidRPr="000E0C38">
        <w:rPr>
          <w:rFonts w:ascii="Arial" w:eastAsia="SimSun" w:hAnsi="Arial" w:cs="Arial"/>
          <w:sz w:val="20"/>
          <w:szCs w:val="20"/>
        </w:rPr>
        <w:t xml:space="preserve"> In terms of value, power and electricity projects dominate</w:t>
      </w:r>
      <w:r w:rsidR="00E2041C" w:rsidRPr="000E0C38">
        <w:rPr>
          <w:rFonts w:ascii="Arial" w:eastAsia="SimSun" w:hAnsi="Arial" w:cs="Arial"/>
          <w:sz w:val="20"/>
          <w:szCs w:val="20"/>
        </w:rPr>
        <w:t xml:space="preserve"> (</w:t>
      </w:r>
      <w:r w:rsidR="00E03F2F" w:rsidRPr="000E0C38">
        <w:rPr>
          <w:rFonts w:ascii="Arial" w:eastAsia="SimSun" w:hAnsi="Arial" w:cs="Arial"/>
          <w:sz w:val="20"/>
          <w:szCs w:val="20"/>
        </w:rPr>
        <w:t>US$5.4 trillion</w:t>
      </w:r>
      <w:r w:rsidR="00E2041C" w:rsidRPr="000E0C38">
        <w:rPr>
          <w:rFonts w:ascii="Arial" w:eastAsia="SimSun" w:hAnsi="Arial" w:cs="Arial"/>
          <w:sz w:val="20"/>
          <w:szCs w:val="20"/>
        </w:rPr>
        <w:t>)</w:t>
      </w:r>
      <w:r w:rsidR="00E03F2F" w:rsidRPr="000E0C38">
        <w:rPr>
          <w:rFonts w:ascii="Arial" w:eastAsia="SimSun" w:hAnsi="Arial" w:cs="Arial"/>
          <w:sz w:val="20"/>
          <w:szCs w:val="20"/>
        </w:rPr>
        <w:t xml:space="preserve">, railways </w:t>
      </w:r>
      <w:r w:rsidR="00E2041C" w:rsidRPr="000E0C38">
        <w:rPr>
          <w:rFonts w:ascii="Arial" w:eastAsia="SimSun" w:hAnsi="Arial" w:cs="Arial"/>
          <w:sz w:val="20"/>
          <w:szCs w:val="20"/>
        </w:rPr>
        <w:t>is</w:t>
      </w:r>
      <w:r w:rsidR="00E03F2F" w:rsidRPr="000E0C38">
        <w:rPr>
          <w:rFonts w:ascii="Arial" w:eastAsia="SimSun" w:hAnsi="Arial" w:cs="Arial"/>
          <w:sz w:val="20"/>
          <w:szCs w:val="20"/>
        </w:rPr>
        <w:t xml:space="preserve"> the second-largest sector</w:t>
      </w:r>
      <w:r w:rsidR="00E2041C" w:rsidRPr="000E0C38">
        <w:rPr>
          <w:rFonts w:ascii="Arial" w:eastAsia="SimSun" w:hAnsi="Arial" w:cs="Arial"/>
          <w:sz w:val="20"/>
          <w:szCs w:val="20"/>
        </w:rPr>
        <w:t xml:space="preserve"> (US$5.2 trillion), followed by r</w:t>
      </w:r>
      <w:r w:rsidR="00E03F2F" w:rsidRPr="000E0C38">
        <w:rPr>
          <w:rFonts w:ascii="Arial" w:eastAsia="SimSun" w:hAnsi="Arial" w:cs="Arial"/>
          <w:sz w:val="20"/>
          <w:szCs w:val="20"/>
        </w:rPr>
        <w:t xml:space="preserve">oads projects </w:t>
      </w:r>
      <w:r w:rsidR="00E2041C" w:rsidRPr="000E0C38">
        <w:rPr>
          <w:rFonts w:ascii="Arial" w:eastAsia="SimSun" w:hAnsi="Arial" w:cs="Arial"/>
          <w:sz w:val="20"/>
          <w:szCs w:val="20"/>
        </w:rPr>
        <w:t>(</w:t>
      </w:r>
      <w:r w:rsidR="00E03F2F" w:rsidRPr="000E0C38">
        <w:rPr>
          <w:rFonts w:ascii="Arial" w:eastAsia="SimSun" w:hAnsi="Arial" w:cs="Arial"/>
          <w:sz w:val="20"/>
          <w:szCs w:val="20"/>
        </w:rPr>
        <w:t>US$1.9 trillion</w:t>
      </w:r>
      <w:r w:rsidR="00E2041C" w:rsidRPr="000E0C38">
        <w:rPr>
          <w:rFonts w:ascii="Arial" w:eastAsia="SimSun" w:hAnsi="Arial" w:cs="Arial"/>
          <w:sz w:val="20"/>
          <w:szCs w:val="20"/>
        </w:rPr>
        <w:t>)</w:t>
      </w:r>
      <w:r w:rsidR="00E03F2F" w:rsidRPr="000E0C38">
        <w:rPr>
          <w:rFonts w:ascii="Arial" w:eastAsia="SimSun" w:hAnsi="Arial" w:cs="Arial"/>
          <w:sz w:val="20"/>
          <w:szCs w:val="20"/>
        </w:rPr>
        <w:t xml:space="preserve">, airports and ports projects </w:t>
      </w:r>
      <w:r w:rsidR="00E2041C" w:rsidRPr="000E0C38">
        <w:rPr>
          <w:rFonts w:ascii="Arial" w:eastAsia="SimSun" w:hAnsi="Arial" w:cs="Arial"/>
          <w:sz w:val="20"/>
          <w:szCs w:val="20"/>
        </w:rPr>
        <w:t>(</w:t>
      </w:r>
      <w:r w:rsidR="00E03F2F" w:rsidRPr="000E0C38">
        <w:rPr>
          <w:rFonts w:ascii="Arial" w:eastAsia="SimSun" w:hAnsi="Arial" w:cs="Arial"/>
          <w:sz w:val="20"/>
          <w:szCs w:val="20"/>
        </w:rPr>
        <w:t>US$1.2 trillion</w:t>
      </w:r>
      <w:r w:rsidR="00E2041C" w:rsidRPr="000E0C38">
        <w:rPr>
          <w:rFonts w:ascii="Arial" w:eastAsia="SimSun" w:hAnsi="Arial" w:cs="Arial"/>
          <w:sz w:val="20"/>
          <w:szCs w:val="20"/>
        </w:rPr>
        <w:t>)</w:t>
      </w:r>
      <w:r w:rsidR="00E03F2F" w:rsidRPr="000E0C38">
        <w:rPr>
          <w:rFonts w:ascii="Arial" w:eastAsia="SimSun" w:hAnsi="Arial" w:cs="Arial"/>
          <w:sz w:val="20"/>
          <w:szCs w:val="20"/>
        </w:rPr>
        <w:t xml:space="preserve">, and water and sewerage </w:t>
      </w:r>
      <w:r w:rsidR="00E2041C" w:rsidRPr="000E0C38">
        <w:rPr>
          <w:rFonts w:ascii="Arial" w:eastAsia="SimSun" w:hAnsi="Arial" w:cs="Arial"/>
          <w:sz w:val="20"/>
          <w:szCs w:val="20"/>
        </w:rPr>
        <w:t>(</w:t>
      </w:r>
      <w:r w:rsidR="00E03F2F" w:rsidRPr="000E0C38">
        <w:rPr>
          <w:rFonts w:ascii="Arial" w:eastAsia="SimSun" w:hAnsi="Arial" w:cs="Arial"/>
          <w:sz w:val="20"/>
          <w:szCs w:val="20"/>
        </w:rPr>
        <w:t>US$421.5 billion</w:t>
      </w:r>
      <w:r w:rsidR="00E2041C" w:rsidRPr="000E0C38">
        <w:rPr>
          <w:rFonts w:ascii="Arial" w:eastAsia="SimSun" w:hAnsi="Arial" w:cs="Arial"/>
          <w:sz w:val="20"/>
          <w:szCs w:val="20"/>
        </w:rPr>
        <w:t>)</w:t>
      </w:r>
      <w:r w:rsidR="00E03F2F" w:rsidRPr="000E0C38">
        <w:rPr>
          <w:rFonts w:ascii="Arial" w:eastAsia="SimSun" w:hAnsi="Arial" w:cs="Arial"/>
          <w:sz w:val="20"/>
          <w:szCs w:val="20"/>
        </w:rPr>
        <w:t>.</w:t>
      </w:r>
    </w:p>
    <w:p w14:paraId="5F152B1B" w14:textId="77777777" w:rsidR="009E64CA" w:rsidRPr="000E0C38" w:rsidRDefault="003B5B06" w:rsidP="00831B36">
      <w:pPr>
        <w:pStyle w:val="ListParagraph"/>
        <w:numPr>
          <w:ilvl w:val="0"/>
          <w:numId w:val="18"/>
        </w:numPr>
        <w:spacing w:after="0"/>
        <w:ind w:left="709" w:hanging="284"/>
        <w:contextualSpacing w:val="0"/>
        <w:rPr>
          <w:rFonts w:ascii="Arial" w:eastAsia="SimSun" w:hAnsi="Arial" w:cs="Arial"/>
          <w:sz w:val="20"/>
          <w:szCs w:val="20"/>
        </w:rPr>
      </w:pPr>
      <w:r w:rsidRPr="000E0C38">
        <w:rPr>
          <w:rFonts w:ascii="Arial" w:eastAsia="SimSun" w:hAnsi="Arial" w:cs="Arial"/>
          <w:b/>
          <w:sz w:val="20"/>
          <w:szCs w:val="20"/>
        </w:rPr>
        <w:t>General economic growth:</w:t>
      </w:r>
      <w:r w:rsidR="00F01A50" w:rsidRPr="000E0C38">
        <w:rPr>
          <w:rFonts w:ascii="Arial" w:eastAsia="SimSun" w:hAnsi="Arial" w:cs="Arial"/>
          <w:sz w:val="20"/>
          <w:szCs w:val="20"/>
        </w:rPr>
        <w:t xml:space="preserve"> The size of the construction sector is positi</w:t>
      </w:r>
      <w:r w:rsidR="00972AF6" w:rsidRPr="000E0C38">
        <w:rPr>
          <w:rFonts w:ascii="Arial" w:eastAsia="SimSun" w:hAnsi="Arial" w:cs="Arial"/>
          <w:sz w:val="20"/>
          <w:szCs w:val="20"/>
        </w:rPr>
        <w:t xml:space="preserve">vely but moderately correlated </w:t>
      </w:r>
      <w:r w:rsidR="00F01A50" w:rsidRPr="000E0C38">
        <w:rPr>
          <w:rFonts w:ascii="Arial" w:eastAsia="SimSun" w:hAnsi="Arial" w:cs="Arial"/>
          <w:sz w:val="20"/>
          <w:szCs w:val="20"/>
        </w:rPr>
        <w:t xml:space="preserve">to economic </w:t>
      </w:r>
      <w:r w:rsidR="00E2041C" w:rsidRPr="000E0C38">
        <w:rPr>
          <w:rFonts w:ascii="Arial" w:eastAsia="SimSun" w:hAnsi="Arial" w:cs="Arial"/>
          <w:sz w:val="20"/>
          <w:szCs w:val="20"/>
        </w:rPr>
        <w:t>growth</w:t>
      </w:r>
      <w:r w:rsidR="00F01A50" w:rsidRPr="000E0C38">
        <w:rPr>
          <w:rFonts w:ascii="Arial" w:eastAsia="SimSun" w:hAnsi="Arial" w:cs="Arial"/>
          <w:sz w:val="20"/>
          <w:szCs w:val="20"/>
        </w:rPr>
        <w:t>, suggesting that the construction sector employs more workers when the economy is growing.</w:t>
      </w:r>
      <w:r w:rsidR="00972AF6" w:rsidRPr="000E0C38">
        <w:rPr>
          <w:rFonts w:ascii="Arial" w:eastAsia="SimSun" w:hAnsi="Arial" w:cs="Arial"/>
          <w:sz w:val="20"/>
          <w:szCs w:val="20"/>
          <w:vertAlign w:val="superscript"/>
        </w:rPr>
        <w:footnoteReference w:id="8"/>
      </w:r>
    </w:p>
    <w:p w14:paraId="4A2391AF" w14:textId="7172FBA2" w:rsidR="00B625AF" w:rsidRPr="000E0C38" w:rsidRDefault="003B5B06" w:rsidP="00831B36">
      <w:pPr>
        <w:pStyle w:val="ListParagraph"/>
        <w:numPr>
          <w:ilvl w:val="0"/>
          <w:numId w:val="18"/>
        </w:numPr>
        <w:spacing w:after="120"/>
        <w:ind w:left="709" w:hanging="284"/>
        <w:contextualSpacing w:val="0"/>
        <w:rPr>
          <w:rFonts w:ascii="Arial" w:eastAsia="SimSun" w:hAnsi="Arial" w:cs="Arial"/>
          <w:b/>
          <w:sz w:val="20"/>
          <w:szCs w:val="20"/>
        </w:rPr>
      </w:pPr>
      <w:r w:rsidRPr="000E0C38">
        <w:rPr>
          <w:rFonts w:ascii="Arial" w:eastAsia="SimSun" w:hAnsi="Arial" w:cs="Arial"/>
          <w:b/>
          <w:sz w:val="20"/>
          <w:szCs w:val="20"/>
        </w:rPr>
        <w:t>Urbanisation:</w:t>
      </w:r>
      <w:r w:rsidR="00792802" w:rsidRPr="000E0C38">
        <w:rPr>
          <w:rFonts w:ascii="Arial" w:eastAsia="SimSun" w:hAnsi="Arial" w:cs="Arial"/>
          <w:b/>
          <w:sz w:val="20"/>
          <w:szCs w:val="20"/>
        </w:rPr>
        <w:t xml:space="preserve"> </w:t>
      </w:r>
      <w:r w:rsidR="00B625AF" w:rsidRPr="000E0C38">
        <w:rPr>
          <w:rFonts w:ascii="Arial" w:eastAsia="SimSun" w:hAnsi="Arial" w:cs="Arial"/>
          <w:sz w:val="20"/>
          <w:szCs w:val="20"/>
        </w:rPr>
        <w:t>1.5 million people are added to the global urban population every week. A staggering 90% of this growth will take place in African and Asian countries with rapid urbanisation placing huge demands on infrastructure, services, job creation, climate and environment.</w:t>
      </w:r>
      <w:r w:rsidR="00B625AF" w:rsidRPr="000E0C38">
        <w:rPr>
          <w:rStyle w:val="FootnoteReference"/>
          <w:rFonts w:ascii="Arial" w:eastAsia="SimSun" w:hAnsi="Arial" w:cs="Arial"/>
          <w:sz w:val="20"/>
          <w:szCs w:val="20"/>
        </w:rPr>
        <w:footnoteReference w:id="9"/>
      </w:r>
    </w:p>
    <w:p w14:paraId="6331061F" w14:textId="70FC4C21" w:rsidR="008632F2" w:rsidRPr="000E0C38" w:rsidRDefault="008632F2" w:rsidP="00432BEF">
      <w:pPr>
        <w:spacing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The construction sector can be divided into three broad sub-sectors: civil construction (e.g. roads and highways, bridges), industrial construction (e.g. oil and gas platforms, mining infrastructure) and residential and commercial construction (e.g. single-family dwellings and office buildings).</w:t>
      </w:r>
      <w:r w:rsidR="00665853" w:rsidRPr="000E0C38">
        <w:rPr>
          <w:rFonts w:ascii="Arial" w:eastAsia="SimSun" w:hAnsi="Arial" w:cs="Arial"/>
          <w:sz w:val="20"/>
          <w:szCs w:val="20"/>
          <w:lang w:eastAsia="zh-CN"/>
        </w:rPr>
        <w:t xml:space="preserve"> M</w:t>
      </w:r>
      <w:r w:rsidRPr="000E0C38">
        <w:rPr>
          <w:rFonts w:ascii="Arial" w:eastAsia="SimSun" w:hAnsi="Arial" w:cs="Arial"/>
          <w:sz w:val="20"/>
          <w:szCs w:val="20"/>
          <w:lang w:eastAsia="zh-CN"/>
        </w:rPr>
        <w:t>ain area</w:t>
      </w:r>
      <w:r w:rsidR="00665853" w:rsidRPr="000E0C38">
        <w:rPr>
          <w:rFonts w:ascii="Arial" w:eastAsia="SimSun" w:hAnsi="Arial" w:cs="Arial"/>
          <w:sz w:val="20"/>
          <w:szCs w:val="20"/>
          <w:lang w:eastAsia="zh-CN"/>
        </w:rPr>
        <w:t>s</w:t>
      </w:r>
      <w:r w:rsidRPr="000E0C38">
        <w:rPr>
          <w:rFonts w:ascii="Arial" w:eastAsia="SimSun" w:hAnsi="Arial" w:cs="Arial"/>
          <w:sz w:val="20"/>
          <w:szCs w:val="20"/>
          <w:lang w:eastAsia="zh-CN"/>
        </w:rPr>
        <w:t xml:space="preserve"> of construction growth in </w:t>
      </w:r>
      <w:r w:rsidR="00000CC0" w:rsidRPr="000E0C38">
        <w:rPr>
          <w:rFonts w:ascii="Arial" w:eastAsia="SimSun" w:hAnsi="Arial" w:cs="Arial"/>
          <w:sz w:val="20"/>
          <w:szCs w:val="20"/>
          <w:lang w:eastAsia="zh-CN"/>
        </w:rPr>
        <w:t xml:space="preserve">DFID </w:t>
      </w:r>
      <w:r w:rsidR="003A41E9" w:rsidRPr="000E0C38">
        <w:rPr>
          <w:rFonts w:ascii="Arial" w:eastAsia="SimSun" w:hAnsi="Arial" w:cs="Arial"/>
          <w:sz w:val="20"/>
          <w:szCs w:val="20"/>
          <w:lang w:eastAsia="zh-CN"/>
        </w:rPr>
        <w:t>f</w:t>
      </w:r>
      <w:r w:rsidR="00000CC0" w:rsidRPr="000E0C38">
        <w:rPr>
          <w:rFonts w:ascii="Arial" w:eastAsia="SimSun" w:hAnsi="Arial" w:cs="Arial"/>
          <w:sz w:val="20"/>
          <w:szCs w:val="20"/>
          <w:lang w:eastAsia="zh-CN"/>
        </w:rPr>
        <w:t xml:space="preserve">ocus </w:t>
      </w:r>
      <w:r w:rsidRPr="000E0C38">
        <w:rPr>
          <w:rFonts w:ascii="Arial" w:eastAsia="SimSun" w:hAnsi="Arial" w:cs="Arial"/>
          <w:sz w:val="20"/>
          <w:szCs w:val="20"/>
          <w:lang w:eastAsia="zh-CN"/>
        </w:rPr>
        <w:t xml:space="preserve">countries </w:t>
      </w:r>
      <w:r w:rsidR="00665853" w:rsidRPr="000E0C38">
        <w:rPr>
          <w:rFonts w:ascii="Arial" w:eastAsia="SimSun" w:hAnsi="Arial" w:cs="Arial"/>
          <w:sz w:val="20"/>
          <w:szCs w:val="20"/>
          <w:lang w:eastAsia="zh-CN"/>
        </w:rPr>
        <w:t>are</w:t>
      </w:r>
      <w:r w:rsidRPr="000E0C38">
        <w:rPr>
          <w:rFonts w:ascii="Arial" w:eastAsia="SimSun" w:hAnsi="Arial" w:cs="Arial"/>
          <w:sz w:val="20"/>
          <w:szCs w:val="20"/>
          <w:lang w:eastAsia="zh-CN"/>
        </w:rPr>
        <w:t xml:space="preserve"> infrastructure building in transport, energy and social infrastructure </w:t>
      </w:r>
      <w:r w:rsidR="00000CC0" w:rsidRPr="000E0C38">
        <w:rPr>
          <w:rFonts w:ascii="Arial" w:eastAsia="SimSun" w:hAnsi="Arial" w:cs="Arial"/>
          <w:sz w:val="20"/>
          <w:szCs w:val="20"/>
          <w:lang w:eastAsia="zh-CN"/>
        </w:rPr>
        <w:t>(</w:t>
      </w:r>
      <w:r w:rsidR="00665853" w:rsidRPr="000E0C38">
        <w:rPr>
          <w:rFonts w:ascii="Arial" w:eastAsia="SimSun" w:hAnsi="Arial" w:cs="Arial"/>
          <w:sz w:val="20"/>
          <w:szCs w:val="20"/>
          <w:lang w:eastAsia="zh-CN"/>
        </w:rPr>
        <w:t>e.g</w:t>
      </w:r>
      <w:r w:rsidRPr="000E0C38">
        <w:rPr>
          <w:rFonts w:ascii="Arial" w:eastAsia="SimSun" w:hAnsi="Arial" w:cs="Arial"/>
          <w:sz w:val="20"/>
          <w:szCs w:val="20"/>
          <w:lang w:eastAsia="zh-CN"/>
        </w:rPr>
        <w:t>. schools, hospitals, water</w:t>
      </w:r>
      <w:r w:rsidR="00000CC0" w:rsidRPr="000E0C38">
        <w:rPr>
          <w:rFonts w:ascii="Arial" w:eastAsia="SimSun" w:hAnsi="Arial" w:cs="Arial"/>
          <w:sz w:val="20"/>
          <w:szCs w:val="20"/>
          <w:lang w:eastAsia="zh-CN"/>
        </w:rPr>
        <w:t>)</w:t>
      </w:r>
      <w:r w:rsidRPr="000E0C38">
        <w:rPr>
          <w:rFonts w:ascii="Arial" w:eastAsia="SimSun" w:hAnsi="Arial" w:cs="Arial"/>
          <w:sz w:val="20"/>
          <w:szCs w:val="20"/>
          <w:lang w:eastAsia="zh-CN"/>
        </w:rPr>
        <w:t>.</w:t>
      </w:r>
      <w:r w:rsidRPr="000E0C38">
        <w:rPr>
          <w:rFonts w:ascii="Arial" w:eastAsia="SimSun" w:hAnsi="Arial" w:cs="Arial"/>
          <w:sz w:val="20"/>
          <w:szCs w:val="20"/>
          <w:vertAlign w:val="superscript"/>
          <w:lang w:eastAsia="zh-CN"/>
        </w:rPr>
        <w:footnoteReference w:id="10"/>
      </w:r>
      <w:r w:rsidRPr="000E0C38">
        <w:rPr>
          <w:rFonts w:ascii="Arial" w:eastAsia="SimSun" w:hAnsi="Arial" w:cs="Arial"/>
          <w:sz w:val="20"/>
          <w:szCs w:val="20"/>
          <w:lang w:eastAsia="zh-CN"/>
        </w:rPr>
        <w:t xml:space="preserve"> </w:t>
      </w:r>
      <w:r w:rsidR="00B625AF" w:rsidRPr="000E0C38">
        <w:rPr>
          <w:rFonts w:ascii="Arial" w:eastAsia="SimSun" w:hAnsi="Arial" w:cs="Arial"/>
          <w:sz w:val="20"/>
          <w:szCs w:val="20"/>
          <w:lang w:eastAsia="zh-CN"/>
        </w:rPr>
        <w:t>R</w:t>
      </w:r>
      <w:r w:rsidRPr="000E0C38">
        <w:rPr>
          <w:rFonts w:ascii="Arial" w:eastAsia="SimSun" w:hAnsi="Arial" w:cs="Arial"/>
          <w:sz w:val="20"/>
          <w:szCs w:val="20"/>
          <w:lang w:eastAsia="zh-CN"/>
        </w:rPr>
        <w:t xml:space="preserve">esidential and industrial construction </w:t>
      </w:r>
      <w:r w:rsidR="00B625AF" w:rsidRPr="000E0C38">
        <w:rPr>
          <w:rFonts w:ascii="Arial" w:eastAsia="SimSun" w:hAnsi="Arial" w:cs="Arial"/>
          <w:sz w:val="20"/>
          <w:szCs w:val="20"/>
          <w:lang w:eastAsia="zh-CN"/>
        </w:rPr>
        <w:t>is predicted to</w:t>
      </w:r>
      <w:r w:rsidRPr="000E0C38">
        <w:rPr>
          <w:rFonts w:ascii="Arial" w:eastAsia="SimSun" w:hAnsi="Arial" w:cs="Arial"/>
          <w:sz w:val="20"/>
          <w:szCs w:val="20"/>
          <w:lang w:eastAsia="zh-CN"/>
        </w:rPr>
        <w:t xml:space="preserve"> grow </w:t>
      </w:r>
      <w:r w:rsidR="00B625AF" w:rsidRPr="000E0C38">
        <w:rPr>
          <w:rFonts w:ascii="Arial" w:eastAsia="SimSun" w:hAnsi="Arial" w:cs="Arial"/>
          <w:sz w:val="20"/>
          <w:szCs w:val="20"/>
          <w:lang w:eastAsia="zh-CN"/>
        </w:rPr>
        <w:t xml:space="preserve">more </w:t>
      </w:r>
      <w:r w:rsidRPr="000E0C38">
        <w:rPr>
          <w:rFonts w:ascii="Arial" w:eastAsia="SimSun" w:hAnsi="Arial" w:cs="Arial"/>
          <w:sz w:val="20"/>
          <w:szCs w:val="20"/>
          <w:lang w:eastAsia="zh-CN"/>
        </w:rPr>
        <w:t>moderately.</w:t>
      </w:r>
      <w:r w:rsidR="00665853"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 xml:space="preserve">This </w:t>
      </w:r>
      <w:r w:rsidR="00B625AF" w:rsidRPr="000E0C38">
        <w:rPr>
          <w:rFonts w:ascii="Arial" w:eastAsia="SimSun" w:hAnsi="Arial" w:cs="Arial"/>
          <w:sz w:val="20"/>
          <w:szCs w:val="20"/>
          <w:lang w:eastAsia="zh-CN"/>
        </w:rPr>
        <w:t>chapter</w:t>
      </w:r>
      <w:r w:rsidRPr="000E0C38">
        <w:rPr>
          <w:rFonts w:ascii="Arial" w:eastAsia="SimSun" w:hAnsi="Arial" w:cs="Arial"/>
          <w:sz w:val="20"/>
          <w:szCs w:val="20"/>
          <w:lang w:eastAsia="zh-CN"/>
        </w:rPr>
        <w:t xml:space="preserve"> presents an overview of employment in construction in DFID focus countries, with general trends as well as cross-country information.</w:t>
      </w:r>
      <w:r w:rsidRPr="000E0C38">
        <w:rPr>
          <w:rFonts w:ascii="Arial" w:eastAsia="SimSun" w:hAnsi="Arial" w:cs="Arial"/>
          <w:sz w:val="20"/>
          <w:szCs w:val="20"/>
          <w:vertAlign w:val="superscript"/>
          <w:lang w:eastAsia="zh-CN"/>
        </w:rPr>
        <w:footnoteReference w:id="11"/>
      </w:r>
      <w:r w:rsidRPr="000E0C38">
        <w:rPr>
          <w:rFonts w:ascii="Arial" w:eastAsia="SimSun" w:hAnsi="Arial" w:cs="Arial"/>
          <w:sz w:val="20"/>
          <w:szCs w:val="20"/>
          <w:lang w:eastAsia="zh-CN"/>
        </w:rPr>
        <w:t xml:space="preserve"> It presents specific data on female and foreign participation, as well as jobs in construction supply chains.</w:t>
      </w:r>
      <w:r w:rsidRPr="000E0C38">
        <w:rPr>
          <w:rFonts w:ascii="Arial" w:eastAsia="SimSun" w:hAnsi="Arial" w:cs="Arial"/>
          <w:sz w:val="20"/>
          <w:szCs w:val="20"/>
          <w:vertAlign w:val="superscript"/>
          <w:lang w:eastAsia="zh-CN"/>
        </w:rPr>
        <w:footnoteReference w:id="12"/>
      </w:r>
    </w:p>
    <w:p w14:paraId="6AC4C693" w14:textId="77777777" w:rsidR="008632F2" w:rsidRPr="000E0C38" w:rsidRDefault="00067D95" w:rsidP="00432BEF">
      <w:pPr>
        <w:pStyle w:val="Heading2"/>
        <w:spacing w:before="0" w:after="120"/>
        <w:rPr>
          <w:lang w:eastAsia="zh-CN"/>
        </w:rPr>
      </w:pPr>
      <w:bookmarkStart w:id="7" w:name="_Toc498019386"/>
      <w:r w:rsidRPr="000E0C38">
        <w:rPr>
          <w:lang w:eastAsia="zh-CN"/>
        </w:rPr>
        <w:lastRenderedPageBreak/>
        <w:t xml:space="preserve">1.1 </w:t>
      </w:r>
      <w:r w:rsidR="008632F2" w:rsidRPr="000E0C38">
        <w:rPr>
          <w:lang w:eastAsia="zh-CN"/>
        </w:rPr>
        <w:t>Employment trends</w:t>
      </w:r>
      <w:bookmarkEnd w:id="7"/>
    </w:p>
    <w:p w14:paraId="1A02E426"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The construction sector is a major source of employment</w:t>
      </w:r>
      <w:r w:rsidR="00000CC0"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not only in on-site construction</w:t>
      </w:r>
      <w:r w:rsidR="00000CC0"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but also in construction-related professional services</w:t>
      </w:r>
      <w:r w:rsidR="00000CC0"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and the supply of materials and components such as bricks and wood. The construction sector is</w:t>
      </w:r>
      <w:r w:rsidR="00000CC0" w:rsidRPr="000E0C38">
        <w:rPr>
          <w:rFonts w:ascii="Arial" w:eastAsia="SimSun" w:hAnsi="Arial" w:cs="Arial"/>
          <w:sz w:val="20"/>
          <w:szCs w:val="20"/>
          <w:lang w:eastAsia="zh-CN"/>
        </w:rPr>
        <w:t xml:space="preserve"> an</w:t>
      </w:r>
      <w:r w:rsidRPr="000E0C38">
        <w:rPr>
          <w:rFonts w:ascii="Arial" w:eastAsia="SimSun" w:hAnsi="Arial" w:cs="Arial"/>
          <w:sz w:val="20"/>
          <w:szCs w:val="20"/>
          <w:lang w:eastAsia="zh-CN"/>
        </w:rPr>
        <w:t xml:space="preserve"> important sector in stimulating local economic ac</w:t>
      </w:r>
      <w:r w:rsidR="00B625AF" w:rsidRPr="000E0C38">
        <w:rPr>
          <w:rFonts w:ascii="Arial" w:eastAsia="SimSun" w:hAnsi="Arial" w:cs="Arial"/>
          <w:sz w:val="20"/>
          <w:szCs w:val="20"/>
          <w:lang w:eastAsia="zh-CN"/>
        </w:rPr>
        <w:t>tivity,</w:t>
      </w:r>
      <w:r w:rsidRPr="000E0C38">
        <w:rPr>
          <w:rFonts w:ascii="Arial" w:eastAsia="SimSun" w:hAnsi="Arial" w:cs="Arial"/>
          <w:sz w:val="20"/>
          <w:szCs w:val="20"/>
          <w:lang w:eastAsia="zh-CN"/>
        </w:rPr>
        <w:t xml:space="preserve"> particularly if linked to</w:t>
      </w:r>
      <w:r w:rsidR="003A41E9" w:rsidRPr="000E0C38">
        <w:rPr>
          <w:rFonts w:ascii="Arial" w:eastAsia="SimSun" w:hAnsi="Arial" w:cs="Arial"/>
          <w:sz w:val="20"/>
          <w:szCs w:val="20"/>
          <w:lang w:eastAsia="zh-CN"/>
        </w:rPr>
        <w:t xml:space="preserve"> an</w:t>
      </w:r>
      <w:r w:rsidRPr="000E0C38">
        <w:rPr>
          <w:rFonts w:ascii="Arial" w:eastAsia="SimSun" w:hAnsi="Arial" w:cs="Arial"/>
          <w:sz w:val="20"/>
          <w:szCs w:val="20"/>
          <w:lang w:eastAsia="zh-CN"/>
        </w:rPr>
        <w:t xml:space="preserve"> improvement in conditions in low income settlements.</w:t>
      </w:r>
      <w:r w:rsidRPr="000E0C38">
        <w:rPr>
          <w:rFonts w:ascii="Arial" w:eastAsia="SimSun" w:hAnsi="Arial" w:cs="Arial"/>
          <w:sz w:val="20"/>
          <w:szCs w:val="20"/>
          <w:vertAlign w:val="superscript"/>
          <w:lang w:eastAsia="zh-CN"/>
        </w:rPr>
        <w:footnoteReference w:id="13"/>
      </w:r>
      <w:r w:rsidRPr="000E0C38">
        <w:rPr>
          <w:rFonts w:ascii="Arial" w:eastAsia="SimSun" w:hAnsi="Arial" w:cs="Arial"/>
          <w:sz w:val="20"/>
          <w:szCs w:val="20"/>
          <w:lang w:eastAsia="zh-CN"/>
        </w:rPr>
        <w:t xml:space="preserve"> It is also important to improve access to trade and </w:t>
      </w:r>
      <w:r w:rsidR="00000CC0" w:rsidRPr="000E0C38">
        <w:rPr>
          <w:rFonts w:ascii="Arial" w:eastAsia="SimSun" w:hAnsi="Arial" w:cs="Arial"/>
          <w:sz w:val="20"/>
          <w:szCs w:val="20"/>
          <w:lang w:eastAsia="zh-CN"/>
        </w:rPr>
        <w:t>essential services such as</w:t>
      </w:r>
      <w:r w:rsidRPr="000E0C38">
        <w:rPr>
          <w:rFonts w:ascii="Arial" w:eastAsia="SimSun" w:hAnsi="Arial" w:cs="Arial"/>
          <w:sz w:val="20"/>
          <w:szCs w:val="20"/>
          <w:lang w:eastAsia="zh-CN"/>
        </w:rPr>
        <w:t xml:space="preserve"> water</w:t>
      </w:r>
      <w:r w:rsidR="00000CC0" w:rsidRPr="000E0C38">
        <w:rPr>
          <w:rFonts w:ascii="Arial" w:eastAsia="SimSun" w:hAnsi="Arial" w:cs="Arial"/>
          <w:sz w:val="20"/>
          <w:szCs w:val="20"/>
          <w:lang w:eastAsia="zh-CN"/>
        </w:rPr>
        <w:t xml:space="preserve"> and </w:t>
      </w:r>
      <w:r w:rsidRPr="000E0C38">
        <w:rPr>
          <w:rFonts w:ascii="Arial" w:eastAsia="SimSun" w:hAnsi="Arial" w:cs="Arial"/>
          <w:sz w:val="20"/>
          <w:szCs w:val="20"/>
          <w:lang w:eastAsia="zh-CN"/>
        </w:rPr>
        <w:t>electricity.</w:t>
      </w:r>
    </w:p>
    <w:p w14:paraId="5909720C" w14:textId="53810A01" w:rsidR="00B13AE0" w:rsidRPr="000E0C38" w:rsidRDefault="008632F2" w:rsidP="00432BEF">
      <w:pPr>
        <w:spacing w:after="6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In 2014, the construction, renovation, maintenance and demolition of buildings and civil engineering projects together accounted for more than 273 million (part</w:t>
      </w:r>
      <w:r w:rsidR="003A41E9" w:rsidRPr="000E0C38">
        <w:rPr>
          <w:rFonts w:ascii="Arial" w:eastAsia="SimSun" w:hAnsi="Arial" w:cs="Arial"/>
          <w:sz w:val="20"/>
          <w:szCs w:val="20"/>
          <w:lang w:eastAsia="zh-CN"/>
        </w:rPr>
        <w:t>-</w:t>
      </w:r>
      <w:r w:rsidRPr="000E0C38">
        <w:rPr>
          <w:rFonts w:ascii="Arial" w:eastAsia="SimSun" w:hAnsi="Arial" w:cs="Arial"/>
          <w:sz w:val="20"/>
          <w:szCs w:val="20"/>
          <w:lang w:eastAsia="zh-CN"/>
        </w:rPr>
        <w:t>time and full time) jobs worldwide, constituting an estimated 8.</w:t>
      </w:r>
      <w:r w:rsidR="00000CC0" w:rsidRPr="000E0C38">
        <w:rPr>
          <w:rFonts w:ascii="Arial" w:eastAsia="SimSun" w:hAnsi="Arial" w:cs="Arial"/>
          <w:sz w:val="20"/>
          <w:szCs w:val="20"/>
          <w:lang w:eastAsia="zh-CN"/>
        </w:rPr>
        <w:t xml:space="preserve">6 </w:t>
      </w:r>
      <w:r w:rsidRPr="000E0C38">
        <w:rPr>
          <w:rFonts w:ascii="Arial" w:eastAsia="SimSun" w:hAnsi="Arial" w:cs="Arial"/>
          <w:sz w:val="20"/>
          <w:szCs w:val="20"/>
          <w:lang w:eastAsia="zh-CN"/>
        </w:rPr>
        <w:t>per cent of the total global employment.</w:t>
      </w:r>
      <w:r w:rsidRPr="000E0C38">
        <w:rPr>
          <w:rFonts w:ascii="Arial" w:eastAsia="SimSun" w:hAnsi="Arial" w:cs="Arial"/>
          <w:sz w:val="20"/>
          <w:szCs w:val="20"/>
          <w:vertAlign w:val="superscript"/>
          <w:lang w:eastAsia="zh-CN"/>
        </w:rPr>
        <w:footnoteReference w:id="14"/>
      </w:r>
      <w:r w:rsidRPr="000E0C38">
        <w:rPr>
          <w:rFonts w:ascii="Arial" w:eastAsia="SimSun" w:hAnsi="Arial" w:cs="Arial"/>
          <w:sz w:val="20"/>
          <w:szCs w:val="20"/>
          <w:lang w:eastAsia="zh-CN"/>
        </w:rPr>
        <w:t xml:space="preserve"> Around 70 million people work in construction in DFID countries of focus, corresponding to an average of 7.</w:t>
      </w:r>
      <w:r w:rsidR="00000CC0" w:rsidRPr="000E0C38">
        <w:rPr>
          <w:rFonts w:ascii="Arial" w:eastAsia="SimSun" w:hAnsi="Arial" w:cs="Arial"/>
          <w:sz w:val="20"/>
          <w:szCs w:val="20"/>
          <w:lang w:eastAsia="zh-CN"/>
        </w:rPr>
        <w:t xml:space="preserve">6 </w:t>
      </w:r>
      <w:r w:rsidRPr="000E0C38">
        <w:rPr>
          <w:rFonts w:ascii="Arial" w:eastAsia="SimSun" w:hAnsi="Arial" w:cs="Arial"/>
          <w:sz w:val="20"/>
          <w:szCs w:val="20"/>
          <w:lang w:eastAsia="zh-CN"/>
        </w:rPr>
        <w:t>per cent of the total workforce in these countries. Female employment constitutes a small but growing share of employment</w:t>
      </w:r>
      <w:r w:rsidR="00B625AF" w:rsidRPr="000E0C38">
        <w:rPr>
          <w:rFonts w:ascii="Arial" w:eastAsia="SimSun" w:hAnsi="Arial" w:cs="Arial"/>
          <w:sz w:val="20"/>
          <w:szCs w:val="20"/>
          <w:lang w:eastAsia="zh-CN"/>
        </w:rPr>
        <w:t xml:space="preserve"> in DFID focus countries</w:t>
      </w:r>
      <w:r w:rsidRPr="000E0C38">
        <w:rPr>
          <w:rFonts w:ascii="Arial" w:eastAsia="SimSun" w:hAnsi="Arial" w:cs="Arial"/>
          <w:sz w:val="20"/>
          <w:szCs w:val="20"/>
          <w:lang w:eastAsia="zh-CN"/>
        </w:rPr>
        <w:t xml:space="preserve">: 11.2 per cent </w:t>
      </w:r>
      <w:r w:rsidR="00B625AF" w:rsidRPr="000E0C38">
        <w:rPr>
          <w:rFonts w:ascii="Arial" w:eastAsia="SimSun" w:hAnsi="Arial" w:cs="Arial"/>
          <w:sz w:val="20"/>
          <w:szCs w:val="20"/>
          <w:lang w:eastAsia="zh-CN"/>
        </w:rPr>
        <w:t>on average in 2014</w:t>
      </w:r>
      <w:r w:rsidRPr="000E0C38">
        <w:rPr>
          <w:rFonts w:ascii="Arial" w:eastAsia="SimSun" w:hAnsi="Arial" w:cs="Arial"/>
          <w:sz w:val="20"/>
          <w:szCs w:val="20"/>
          <w:lang w:eastAsia="zh-CN"/>
        </w:rPr>
        <w:t>. This is higher than the world average</w:t>
      </w:r>
      <w:r w:rsidR="00B625AF" w:rsidRPr="000E0C38">
        <w:rPr>
          <w:rFonts w:ascii="Arial" w:eastAsia="SimSun" w:hAnsi="Arial" w:cs="Arial"/>
          <w:sz w:val="20"/>
          <w:szCs w:val="20"/>
          <w:lang w:eastAsia="zh-CN"/>
        </w:rPr>
        <w:t xml:space="preserve"> of</w:t>
      </w:r>
      <w:r w:rsidRPr="000E0C38">
        <w:rPr>
          <w:rFonts w:ascii="Arial" w:eastAsia="SimSun" w:hAnsi="Arial" w:cs="Arial"/>
          <w:sz w:val="20"/>
          <w:szCs w:val="20"/>
          <w:lang w:eastAsia="zh-CN"/>
        </w:rPr>
        <w:t xml:space="preserve"> 9.5 per cent</w:t>
      </w:r>
      <w:r w:rsidR="00B625AF" w:rsidRPr="000E0C38">
        <w:rPr>
          <w:rFonts w:ascii="Arial" w:eastAsia="SimSun" w:hAnsi="Arial" w:cs="Arial"/>
          <w:sz w:val="20"/>
          <w:szCs w:val="20"/>
          <w:lang w:eastAsia="zh-CN"/>
        </w:rPr>
        <w:t>.</w:t>
      </w:r>
      <w:r w:rsidR="00745669" w:rsidRPr="000E0C38">
        <w:rPr>
          <w:rStyle w:val="FootnoteReference"/>
          <w:rFonts w:ascii="Arial" w:eastAsia="SimSun" w:hAnsi="Arial" w:cs="Arial"/>
          <w:sz w:val="20"/>
          <w:szCs w:val="20"/>
          <w:lang w:eastAsia="zh-CN"/>
        </w:rPr>
        <w:footnoteReference w:id="15"/>
      </w:r>
      <w:r w:rsidR="00665853" w:rsidRPr="000E0C38">
        <w:rPr>
          <w:rFonts w:ascii="Arial" w:eastAsia="SimSun" w:hAnsi="Arial" w:cs="Arial"/>
          <w:sz w:val="20"/>
          <w:szCs w:val="20"/>
          <w:lang w:eastAsia="zh-CN"/>
        </w:rPr>
        <w:t xml:space="preserve"> </w:t>
      </w:r>
      <w:r w:rsidR="00134098" w:rsidRPr="000E0C38">
        <w:fldChar w:fldCharType="begin"/>
      </w:r>
      <w:r w:rsidR="00134098" w:rsidRPr="000E0C38">
        <w:instrText xml:space="preserve"> REF _Ref492036851 \h  \* MERGEFORMAT </w:instrText>
      </w:r>
      <w:r w:rsidR="00134098" w:rsidRPr="000E0C38">
        <w:fldChar w:fldCharType="separate"/>
      </w:r>
      <w:r w:rsidR="001A6968" w:rsidRPr="000E0C38">
        <w:rPr>
          <w:rFonts w:ascii="Arial" w:hAnsi="Arial" w:cs="Arial"/>
          <w:sz w:val="20"/>
          <w:szCs w:val="20"/>
        </w:rPr>
        <w:t>Figure 1</w:t>
      </w:r>
      <w:r w:rsidR="00134098" w:rsidRPr="000E0C38">
        <w:fldChar w:fldCharType="end"/>
      </w:r>
      <w:r w:rsidR="00272D0C" w:rsidRPr="000E0C38">
        <w:rPr>
          <w:rFonts w:ascii="Arial" w:eastAsia="SimSun" w:hAnsi="Arial" w:cs="Arial"/>
          <w:sz w:val="20"/>
          <w:szCs w:val="20"/>
          <w:lang w:eastAsia="zh-CN"/>
        </w:rPr>
        <w:t xml:space="preserve"> </w:t>
      </w:r>
      <w:r w:rsidR="00B13AE0" w:rsidRPr="000E0C38">
        <w:rPr>
          <w:rFonts w:ascii="Arial" w:eastAsia="SimSun" w:hAnsi="Arial" w:cs="Arial"/>
          <w:sz w:val="20"/>
          <w:szCs w:val="20"/>
          <w:lang w:eastAsia="zh-CN"/>
        </w:rPr>
        <w:t xml:space="preserve">shows the </w:t>
      </w:r>
      <w:r w:rsidR="00277988" w:rsidRPr="000E0C38">
        <w:rPr>
          <w:rFonts w:ascii="Arial" w:eastAsia="SimSun" w:hAnsi="Arial" w:cs="Arial"/>
          <w:sz w:val="20"/>
          <w:szCs w:val="20"/>
          <w:lang w:eastAsia="zh-CN"/>
        </w:rPr>
        <w:t>share</w:t>
      </w:r>
      <w:r w:rsidR="00B13AE0" w:rsidRPr="000E0C38">
        <w:rPr>
          <w:rFonts w:ascii="Arial" w:eastAsia="SimSun" w:hAnsi="Arial" w:cs="Arial"/>
          <w:sz w:val="20"/>
          <w:szCs w:val="20"/>
          <w:lang w:eastAsia="zh-CN"/>
        </w:rPr>
        <w:t xml:space="preserve"> of the workforce employed in the construction industry in DFID focus countries,</w:t>
      </w:r>
      <w:r w:rsidR="00277988" w:rsidRPr="000E0C38">
        <w:rPr>
          <w:rFonts w:ascii="Arial" w:eastAsia="SimSun" w:hAnsi="Arial" w:cs="Arial"/>
          <w:sz w:val="20"/>
          <w:szCs w:val="20"/>
          <w:lang w:eastAsia="zh-CN"/>
        </w:rPr>
        <w:t xml:space="preserve"> current</w:t>
      </w:r>
      <w:r w:rsidR="00B13AE0" w:rsidRPr="000E0C38">
        <w:rPr>
          <w:rFonts w:ascii="Arial" w:eastAsia="SimSun" w:hAnsi="Arial" w:cs="Arial"/>
          <w:sz w:val="20"/>
          <w:szCs w:val="20"/>
          <w:lang w:eastAsia="zh-CN"/>
        </w:rPr>
        <w:t xml:space="preserve"> and expected </w:t>
      </w:r>
      <w:r w:rsidR="00277988" w:rsidRPr="000E0C38">
        <w:rPr>
          <w:rFonts w:ascii="Arial" w:eastAsia="SimSun" w:hAnsi="Arial" w:cs="Arial"/>
          <w:sz w:val="20"/>
          <w:szCs w:val="20"/>
          <w:lang w:eastAsia="zh-CN"/>
        </w:rPr>
        <w:t xml:space="preserve">in </w:t>
      </w:r>
      <w:r w:rsidR="00B13AE0" w:rsidRPr="000E0C38">
        <w:rPr>
          <w:rFonts w:ascii="Arial" w:eastAsia="SimSun" w:hAnsi="Arial" w:cs="Arial"/>
          <w:sz w:val="20"/>
          <w:szCs w:val="20"/>
          <w:lang w:eastAsia="zh-CN"/>
        </w:rPr>
        <w:t>2019.</w:t>
      </w:r>
    </w:p>
    <w:p w14:paraId="5A692062" w14:textId="1869A44E" w:rsidR="009E64CA" w:rsidRPr="000E0C38" w:rsidRDefault="003B5B06" w:rsidP="00432BEF">
      <w:pPr>
        <w:pStyle w:val="Caption"/>
        <w:keepNext/>
        <w:spacing w:after="0"/>
        <w:jc w:val="both"/>
        <w:rPr>
          <w:b/>
          <w:sz w:val="20"/>
        </w:rPr>
      </w:pPr>
      <w:bookmarkStart w:id="8" w:name="_Ref492036851"/>
      <w:r w:rsidRPr="000E0C38">
        <w:rPr>
          <w:b/>
          <w:sz w:val="20"/>
          <w:szCs w:val="24"/>
        </w:rPr>
        <w:t xml:space="preserve">Figure </w:t>
      </w:r>
      <w:r w:rsidR="00226ED7" w:rsidRPr="000E0C38">
        <w:rPr>
          <w:b/>
          <w:sz w:val="20"/>
          <w:szCs w:val="24"/>
        </w:rPr>
        <w:fldChar w:fldCharType="begin"/>
      </w:r>
      <w:r w:rsidRPr="000E0C38">
        <w:rPr>
          <w:b/>
          <w:sz w:val="20"/>
          <w:szCs w:val="24"/>
        </w:rPr>
        <w:instrText xml:space="preserve"> SEQ Figure \* ARABIC </w:instrText>
      </w:r>
      <w:r w:rsidR="00226ED7" w:rsidRPr="000E0C38">
        <w:rPr>
          <w:b/>
          <w:sz w:val="20"/>
          <w:szCs w:val="24"/>
        </w:rPr>
        <w:fldChar w:fldCharType="separate"/>
      </w:r>
      <w:r w:rsidR="001A6968" w:rsidRPr="000E0C38">
        <w:rPr>
          <w:b/>
          <w:sz w:val="20"/>
          <w:szCs w:val="24"/>
        </w:rPr>
        <w:t>1</w:t>
      </w:r>
      <w:r w:rsidR="00226ED7" w:rsidRPr="000E0C38">
        <w:rPr>
          <w:b/>
          <w:sz w:val="20"/>
          <w:szCs w:val="24"/>
        </w:rPr>
        <w:fldChar w:fldCharType="end"/>
      </w:r>
      <w:bookmarkEnd w:id="8"/>
      <w:r w:rsidR="003A41E9" w:rsidRPr="000E0C38">
        <w:rPr>
          <w:b/>
          <w:sz w:val="20"/>
          <w:szCs w:val="24"/>
        </w:rPr>
        <w:t>:</w:t>
      </w:r>
      <w:r w:rsidRPr="000E0C38">
        <w:rPr>
          <w:rFonts w:eastAsia="SimSun" w:cs="Arial"/>
          <w:b/>
          <w:sz w:val="20"/>
          <w:lang w:eastAsia="zh-CN"/>
        </w:rPr>
        <w:t xml:space="preserve"> Proportion of the workforce employed in the construction industry (2014) and expected change 2014-2019 </w:t>
      </w:r>
    </w:p>
    <w:p w14:paraId="0E0C2A45" w14:textId="77777777" w:rsidR="008632F2" w:rsidRPr="000E0C38" w:rsidRDefault="009E64CA" w:rsidP="00432BEF">
      <w:pPr>
        <w:spacing w:line="276" w:lineRule="auto"/>
        <w:jc w:val="both"/>
        <w:rPr>
          <w:rFonts w:ascii="Arial" w:eastAsia="SimSun" w:hAnsi="Arial" w:cs="Arial"/>
          <w:sz w:val="20"/>
          <w:szCs w:val="20"/>
          <w:lang w:eastAsia="zh-CN"/>
        </w:rPr>
      </w:pPr>
      <w:r w:rsidRPr="000E0C38">
        <w:rPr>
          <w:rFonts w:ascii="Arial" w:eastAsia="SimSun" w:hAnsi="Arial" w:cs="Arial"/>
          <w:noProof/>
          <w:sz w:val="20"/>
          <w:szCs w:val="20"/>
          <w:lang w:eastAsia="en-GB"/>
        </w:rPr>
        <w:drawing>
          <wp:inline distT="0" distB="0" distL="0" distR="0" wp14:anchorId="2BAF38EC" wp14:editId="5CCD4A4D">
            <wp:extent cx="5582285" cy="3905250"/>
            <wp:effectExtent l="0" t="0" r="0" b="0"/>
            <wp:docPr id="3"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BE444E" w14:textId="77777777" w:rsidR="009E64CA" w:rsidRPr="000E0C38" w:rsidRDefault="008632F2" w:rsidP="008F4768">
      <w:pPr>
        <w:spacing w:after="120"/>
        <w:jc w:val="both"/>
        <w:rPr>
          <w:rFonts w:ascii="Arial" w:eastAsia="SimSun" w:hAnsi="Arial" w:cs="Arial"/>
          <w:sz w:val="16"/>
          <w:szCs w:val="16"/>
          <w:lang w:eastAsia="zh-CN"/>
        </w:rPr>
      </w:pPr>
      <w:r w:rsidRPr="000E0C38">
        <w:rPr>
          <w:rFonts w:ascii="Arial" w:eastAsia="SimSun" w:hAnsi="Arial" w:cs="Arial"/>
          <w:sz w:val="16"/>
          <w:szCs w:val="16"/>
          <w:lang w:eastAsia="zh-CN"/>
        </w:rPr>
        <w:t xml:space="preserve">Source: </w:t>
      </w:r>
      <w:r w:rsidR="000543E8" w:rsidRPr="000E0C38">
        <w:rPr>
          <w:rFonts w:ascii="Arial" w:eastAsia="SimSun" w:hAnsi="Arial" w:cs="Arial"/>
          <w:sz w:val="16"/>
          <w:szCs w:val="16"/>
          <w:lang w:eastAsia="zh-CN"/>
        </w:rPr>
        <w:t xml:space="preserve">ILO (2015a). </w:t>
      </w:r>
      <w:r w:rsidRPr="000E0C38">
        <w:rPr>
          <w:rFonts w:ascii="Arial" w:eastAsia="SimSun" w:hAnsi="Arial" w:cs="Arial"/>
          <w:sz w:val="16"/>
          <w:szCs w:val="16"/>
          <w:lang w:eastAsia="zh-CN"/>
        </w:rPr>
        <w:t>Note: Origin is set at 8.6</w:t>
      </w:r>
      <w:r w:rsidR="009E64CA" w:rsidRPr="000E0C38">
        <w:rPr>
          <w:rFonts w:ascii="Arial" w:eastAsia="SimSun" w:hAnsi="Arial" w:cs="Arial"/>
          <w:sz w:val="16"/>
          <w:szCs w:val="16"/>
          <w:lang w:eastAsia="zh-CN"/>
        </w:rPr>
        <w:t xml:space="preserve"> per cent</w:t>
      </w:r>
      <w:r w:rsidR="00B13AE0" w:rsidRPr="000E0C38">
        <w:rPr>
          <w:rFonts w:ascii="Arial" w:eastAsia="SimSun" w:hAnsi="Arial" w:cs="Arial"/>
          <w:sz w:val="16"/>
          <w:szCs w:val="16"/>
          <w:lang w:eastAsia="zh-CN"/>
        </w:rPr>
        <w:t>,</w:t>
      </w:r>
      <w:r w:rsidRPr="000E0C38">
        <w:rPr>
          <w:rFonts w:ascii="Arial" w:eastAsia="SimSun" w:hAnsi="Arial" w:cs="Arial"/>
          <w:sz w:val="16"/>
          <w:szCs w:val="16"/>
          <w:lang w:eastAsia="zh-CN"/>
        </w:rPr>
        <w:t xml:space="preserve"> 3</w:t>
      </w:r>
      <w:r w:rsidR="00B13AE0" w:rsidRPr="000E0C38">
        <w:rPr>
          <w:rFonts w:ascii="Arial" w:eastAsia="SimSun" w:hAnsi="Arial" w:cs="Arial"/>
          <w:sz w:val="16"/>
          <w:szCs w:val="16"/>
          <w:lang w:eastAsia="zh-CN"/>
        </w:rPr>
        <w:t>.1</w:t>
      </w:r>
      <w:r w:rsidR="009E64CA" w:rsidRPr="000E0C38">
        <w:rPr>
          <w:rFonts w:ascii="Arial" w:eastAsia="SimSun" w:hAnsi="Arial" w:cs="Arial"/>
          <w:sz w:val="16"/>
          <w:szCs w:val="16"/>
          <w:lang w:eastAsia="zh-CN"/>
        </w:rPr>
        <w:t xml:space="preserve"> per cent</w:t>
      </w:r>
      <w:r w:rsidRPr="000E0C38">
        <w:rPr>
          <w:rFonts w:ascii="Arial" w:eastAsia="SimSun" w:hAnsi="Arial" w:cs="Arial"/>
          <w:sz w:val="16"/>
          <w:szCs w:val="16"/>
          <w:lang w:eastAsia="zh-CN"/>
        </w:rPr>
        <w:t xml:space="preserve">, the world average construction employment in 2014 and expected </w:t>
      </w:r>
      <w:r w:rsidR="00B13AE0" w:rsidRPr="000E0C38">
        <w:rPr>
          <w:rFonts w:ascii="Arial" w:eastAsia="SimSun" w:hAnsi="Arial" w:cs="Arial"/>
          <w:sz w:val="16"/>
          <w:szCs w:val="16"/>
          <w:lang w:eastAsia="zh-CN"/>
        </w:rPr>
        <w:t>compound annual growth rate (</w:t>
      </w:r>
      <w:r w:rsidRPr="000E0C38">
        <w:rPr>
          <w:rFonts w:ascii="Arial" w:eastAsia="SimSun" w:hAnsi="Arial" w:cs="Arial"/>
          <w:sz w:val="16"/>
          <w:szCs w:val="16"/>
          <w:lang w:eastAsia="zh-CN"/>
        </w:rPr>
        <w:t>CAGR</w:t>
      </w:r>
      <w:r w:rsidR="00B13AE0" w:rsidRPr="000E0C38">
        <w:rPr>
          <w:rFonts w:ascii="Arial" w:eastAsia="SimSun" w:hAnsi="Arial" w:cs="Arial"/>
          <w:sz w:val="16"/>
          <w:szCs w:val="16"/>
          <w:lang w:eastAsia="zh-CN"/>
        </w:rPr>
        <w:t>)</w:t>
      </w:r>
      <w:r w:rsidRPr="000E0C38">
        <w:rPr>
          <w:rFonts w:ascii="Arial" w:eastAsia="SimSun" w:hAnsi="Arial" w:cs="Arial"/>
          <w:sz w:val="16"/>
          <w:szCs w:val="16"/>
          <w:lang w:eastAsia="zh-CN"/>
        </w:rPr>
        <w:t xml:space="preserve"> of construction employment between 2014 and 2019</w:t>
      </w:r>
      <w:r w:rsidR="00B13AE0" w:rsidRPr="000E0C38">
        <w:rPr>
          <w:rFonts w:ascii="Arial" w:eastAsia="SimSun" w:hAnsi="Arial" w:cs="Arial"/>
          <w:sz w:val="16"/>
          <w:szCs w:val="16"/>
          <w:lang w:eastAsia="zh-CN"/>
        </w:rPr>
        <w:t>.</w:t>
      </w:r>
      <w:r w:rsidR="00FB0EA4" w:rsidRPr="000E0C38">
        <w:rPr>
          <w:rFonts w:ascii="Arial" w:eastAsia="SimSun" w:hAnsi="Arial" w:cs="Arial"/>
          <w:sz w:val="16"/>
          <w:szCs w:val="16"/>
          <w:lang w:eastAsia="zh-CN"/>
        </w:rPr>
        <w:t xml:space="preserve"> CAGR is calculated with the following formula CAGR= ((Emp</w:t>
      </w:r>
      <w:r w:rsidR="00FB0EA4" w:rsidRPr="000E0C38">
        <w:rPr>
          <w:rFonts w:ascii="Arial" w:eastAsia="SimSun" w:hAnsi="Arial" w:cs="Arial"/>
          <w:sz w:val="16"/>
          <w:szCs w:val="16"/>
          <w:vertAlign w:val="subscript"/>
          <w:lang w:eastAsia="zh-CN"/>
        </w:rPr>
        <w:t>n</w:t>
      </w:r>
      <w:r w:rsidR="00FB0EA4" w:rsidRPr="000E0C38">
        <w:rPr>
          <w:rFonts w:ascii="Arial" w:eastAsia="SimSun" w:hAnsi="Arial" w:cs="Arial"/>
          <w:sz w:val="16"/>
          <w:szCs w:val="16"/>
          <w:lang w:eastAsia="zh-CN"/>
        </w:rPr>
        <w:t>-Emp</w:t>
      </w:r>
      <w:r w:rsidR="00FB0EA4" w:rsidRPr="000E0C38">
        <w:rPr>
          <w:rFonts w:ascii="Arial" w:eastAsia="SimSun" w:hAnsi="Arial" w:cs="Arial"/>
          <w:sz w:val="16"/>
          <w:szCs w:val="16"/>
          <w:vertAlign w:val="subscript"/>
          <w:lang w:eastAsia="zh-CN"/>
        </w:rPr>
        <w:t>0</w:t>
      </w:r>
      <w:r w:rsidR="00FB0EA4" w:rsidRPr="000E0C38">
        <w:rPr>
          <w:rFonts w:ascii="Arial" w:eastAsia="SimSun" w:hAnsi="Arial" w:cs="Arial"/>
          <w:sz w:val="16"/>
          <w:szCs w:val="16"/>
          <w:lang w:eastAsia="zh-CN"/>
        </w:rPr>
        <w:t>)/Emp</w:t>
      </w:r>
      <w:r w:rsidR="00FB0EA4" w:rsidRPr="000E0C38">
        <w:rPr>
          <w:rFonts w:ascii="Arial" w:eastAsia="SimSun" w:hAnsi="Arial" w:cs="Arial"/>
          <w:sz w:val="16"/>
          <w:szCs w:val="16"/>
          <w:vertAlign w:val="subscript"/>
          <w:lang w:eastAsia="zh-CN"/>
        </w:rPr>
        <w:t>0</w:t>
      </w:r>
      <w:r w:rsidR="00FB0EA4" w:rsidRPr="000E0C38">
        <w:rPr>
          <w:rFonts w:ascii="Arial" w:eastAsia="SimSun" w:hAnsi="Arial" w:cs="Arial"/>
          <w:sz w:val="16"/>
          <w:szCs w:val="16"/>
          <w:lang w:eastAsia="zh-CN"/>
        </w:rPr>
        <w:t xml:space="preserve">)/n, where </w:t>
      </w:r>
      <w:proofErr w:type="spellStart"/>
      <w:r w:rsidR="00FB0EA4" w:rsidRPr="000E0C38">
        <w:rPr>
          <w:rFonts w:ascii="Arial" w:eastAsia="SimSun" w:hAnsi="Arial" w:cs="Arial"/>
          <w:sz w:val="16"/>
          <w:szCs w:val="16"/>
          <w:lang w:eastAsia="zh-CN"/>
        </w:rPr>
        <w:t>Emp</w:t>
      </w:r>
      <w:r w:rsidR="00FB0EA4" w:rsidRPr="000E0C38">
        <w:rPr>
          <w:rFonts w:ascii="Arial" w:eastAsia="SimSun" w:hAnsi="Arial" w:cs="Arial"/>
          <w:sz w:val="16"/>
          <w:szCs w:val="16"/>
          <w:vertAlign w:val="subscript"/>
          <w:lang w:eastAsia="zh-CN"/>
        </w:rPr>
        <w:t>n</w:t>
      </w:r>
      <w:proofErr w:type="spellEnd"/>
      <w:r w:rsidR="00FB0EA4" w:rsidRPr="000E0C38">
        <w:rPr>
          <w:rFonts w:ascii="Arial" w:eastAsia="SimSun" w:hAnsi="Arial" w:cs="Arial"/>
          <w:sz w:val="16"/>
          <w:szCs w:val="16"/>
          <w:lang w:eastAsia="zh-CN"/>
        </w:rPr>
        <w:t xml:space="preserve"> is the forecasted employment and Emp</w:t>
      </w:r>
      <w:r w:rsidR="00FB0EA4" w:rsidRPr="000E0C38">
        <w:rPr>
          <w:rFonts w:ascii="Arial" w:eastAsia="SimSun" w:hAnsi="Arial" w:cs="Arial"/>
          <w:sz w:val="16"/>
          <w:szCs w:val="16"/>
          <w:vertAlign w:val="subscript"/>
          <w:lang w:eastAsia="zh-CN"/>
        </w:rPr>
        <w:t>0</w:t>
      </w:r>
      <w:r w:rsidR="00FB0EA4" w:rsidRPr="000E0C38">
        <w:rPr>
          <w:rFonts w:ascii="Arial" w:eastAsia="SimSun" w:hAnsi="Arial" w:cs="Arial"/>
          <w:sz w:val="16"/>
          <w:szCs w:val="16"/>
          <w:lang w:eastAsia="zh-CN"/>
        </w:rPr>
        <w:t xml:space="preserve"> is the employment at the reference year.</w:t>
      </w:r>
    </w:p>
    <w:p w14:paraId="354F1065" w14:textId="2A5C34DE" w:rsidR="008632F2" w:rsidRPr="000E0C38" w:rsidRDefault="008632F2" w:rsidP="00432BEF">
      <w:pPr>
        <w:spacing w:after="120" w:line="260" w:lineRule="atLeast"/>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The top right quadrant of </w:t>
      </w:r>
      <w:r w:rsidR="00134098" w:rsidRPr="000E0C38">
        <w:fldChar w:fldCharType="begin"/>
      </w:r>
      <w:r w:rsidR="00134098" w:rsidRPr="000E0C38">
        <w:instrText xml:space="preserve"> REF _Ref492036851 \h  \* MERGEFORMAT </w:instrText>
      </w:r>
      <w:r w:rsidR="00134098" w:rsidRPr="000E0C38">
        <w:fldChar w:fldCharType="separate"/>
      </w:r>
      <w:r w:rsidR="001A6968" w:rsidRPr="000E0C38">
        <w:rPr>
          <w:rFonts w:ascii="Arial" w:hAnsi="Arial" w:cs="Arial"/>
          <w:sz w:val="20"/>
          <w:szCs w:val="20"/>
        </w:rPr>
        <w:t>Figure 1</w:t>
      </w:r>
      <w:r w:rsidR="00134098" w:rsidRPr="000E0C38">
        <w:fldChar w:fldCharType="end"/>
      </w:r>
      <w:r w:rsidR="00272D0C"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 xml:space="preserve">shows countries </w:t>
      </w:r>
      <w:r w:rsidR="00B13AE0" w:rsidRPr="000E0C38">
        <w:rPr>
          <w:rFonts w:ascii="Arial" w:eastAsia="SimSun" w:hAnsi="Arial" w:cs="Arial"/>
          <w:sz w:val="20"/>
          <w:szCs w:val="20"/>
          <w:lang w:eastAsia="zh-CN"/>
        </w:rPr>
        <w:t>where</w:t>
      </w:r>
      <w:r w:rsidRPr="000E0C38">
        <w:rPr>
          <w:rFonts w:ascii="Arial" w:eastAsia="SimSun" w:hAnsi="Arial" w:cs="Arial"/>
          <w:sz w:val="20"/>
          <w:szCs w:val="20"/>
          <w:lang w:eastAsia="zh-CN"/>
        </w:rPr>
        <w:t xml:space="preserve"> </w:t>
      </w:r>
      <w:r w:rsidR="00B13AE0" w:rsidRPr="000E0C38">
        <w:rPr>
          <w:rFonts w:ascii="Arial" w:eastAsia="SimSun" w:hAnsi="Arial" w:cs="Arial"/>
          <w:sz w:val="20"/>
          <w:szCs w:val="20"/>
          <w:lang w:eastAsia="zh-CN"/>
        </w:rPr>
        <w:t xml:space="preserve">both 2014 construction sector employment and projected growth (to 2019) is above the global average </w:t>
      </w:r>
      <w:r w:rsidRPr="000E0C38">
        <w:rPr>
          <w:rFonts w:ascii="Arial" w:eastAsia="SimSun" w:hAnsi="Arial" w:cs="Arial"/>
          <w:sz w:val="20"/>
          <w:szCs w:val="20"/>
          <w:lang w:eastAsia="zh-CN"/>
        </w:rPr>
        <w:t xml:space="preserve">(essentially </w:t>
      </w:r>
      <w:r w:rsidR="00B13AE0" w:rsidRPr="000E0C38">
        <w:rPr>
          <w:rFonts w:ascii="Arial" w:eastAsia="SimSun" w:hAnsi="Arial" w:cs="Arial"/>
          <w:sz w:val="20"/>
          <w:szCs w:val="20"/>
          <w:lang w:eastAsia="zh-CN"/>
        </w:rPr>
        <w:t xml:space="preserve">those </w:t>
      </w:r>
      <w:r w:rsidRPr="000E0C38">
        <w:rPr>
          <w:rFonts w:ascii="Arial" w:eastAsia="SimSun" w:hAnsi="Arial" w:cs="Arial"/>
          <w:sz w:val="20"/>
          <w:szCs w:val="20"/>
          <w:lang w:eastAsia="zh-CN"/>
        </w:rPr>
        <w:t xml:space="preserve">countries </w:t>
      </w:r>
      <w:r w:rsidR="00B13AE0" w:rsidRPr="000E0C38">
        <w:rPr>
          <w:rFonts w:ascii="Arial" w:eastAsia="SimSun" w:hAnsi="Arial" w:cs="Arial"/>
          <w:sz w:val="20"/>
          <w:szCs w:val="20"/>
          <w:lang w:eastAsia="zh-CN"/>
        </w:rPr>
        <w:t>where the sector is large in size</w:t>
      </w:r>
      <w:r w:rsidR="00F01A50" w:rsidRPr="000E0C38">
        <w:rPr>
          <w:rFonts w:ascii="Arial" w:eastAsia="SimSun" w:hAnsi="Arial" w:cs="Arial"/>
          <w:sz w:val="20"/>
          <w:szCs w:val="20"/>
          <w:lang w:eastAsia="zh-CN"/>
        </w:rPr>
        <w:t>,</w:t>
      </w:r>
      <w:r w:rsidR="00B13AE0" w:rsidRPr="000E0C38">
        <w:rPr>
          <w:rFonts w:ascii="Arial" w:eastAsia="SimSun" w:hAnsi="Arial" w:cs="Arial"/>
          <w:sz w:val="20"/>
          <w:szCs w:val="20"/>
          <w:lang w:eastAsia="zh-CN"/>
        </w:rPr>
        <w:t xml:space="preserve"> and </w:t>
      </w:r>
      <w:r w:rsidR="00F01A50" w:rsidRPr="000E0C38">
        <w:rPr>
          <w:rFonts w:ascii="Arial" w:eastAsia="SimSun" w:hAnsi="Arial" w:cs="Arial"/>
          <w:sz w:val="20"/>
          <w:szCs w:val="20"/>
          <w:lang w:eastAsia="zh-CN"/>
        </w:rPr>
        <w:t>there is</w:t>
      </w:r>
      <w:r w:rsidR="00B13AE0" w:rsidRPr="000E0C38">
        <w:rPr>
          <w:rFonts w:ascii="Arial" w:eastAsia="SimSun" w:hAnsi="Arial" w:cs="Arial"/>
          <w:sz w:val="20"/>
          <w:szCs w:val="20"/>
          <w:lang w:eastAsia="zh-CN"/>
        </w:rPr>
        <w:t xml:space="preserve"> a strong growth opportunity</w:t>
      </w:r>
      <w:r w:rsidRPr="000E0C38">
        <w:rPr>
          <w:rFonts w:ascii="Arial" w:eastAsia="SimSun" w:hAnsi="Arial" w:cs="Arial"/>
          <w:sz w:val="20"/>
          <w:szCs w:val="20"/>
          <w:lang w:eastAsia="zh-CN"/>
        </w:rPr>
        <w:t>)</w:t>
      </w:r>
      <w:r w:rsidR="00EB640C" w:rsidRPr="000E0C38">
        <w:rPr>
          <w:rFonts w:ascii="Arial" w:eastAsia="SimSun" w:hAnsi="Arial" w:cs="Arial"/>
          <w:sz w:val="20"/>
          <w:szCs w:val="20"/>
          <w:lang w:eastAsia="zh-CN"/>
        </w:rPr>
        <w:t>:</w:t>
      </w:r>
      <w:r w:rsidR="00F01A50"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West Bank and Gaza Strip, Yemen</w:t>
      </w:r>
      <w:r w:rsidR="00F01A50"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and India</w:t>
      </w:r>
      <w:r w:rsidR="00EB640C"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The bottom left </w:t>
      </w:r>
      <w:r w:rsidR="00F01A50" w:rsidRPr="000E0C38">
        <w:rPr>
          <w:rFonts w:ascii="Arial" w:eastAsia="SimSun" w:hAnsi="Arial" w:cs="Arial"/>
          <w:sz w:val="20"/>
          <w:szCs w:val="20"/>
          <w:lang w:eastAsia="zh-CN"/>
        </w:rPr>
        <w:t xml:space="preserve">quadrant </w:t>
      </w:r>
      <w:r w:rsidRPr="000E0C38">
        <w:rPr>
          <w:rFonts w:ascii="Arial" w:eastAsia="SimSun" w:hAnsi="Arial" w:cs="Arial"/>
          <w:sz w:val="20"/>
          <w:szCs w:val="20"/>
          <w:lang w:eastAsia="zh-CN"/>
        </w:rPr>
        <w:t xml:space="preserve">represents countries with a small sector and low expected employment growth. </w:t>
      </w:r>
      <w:r w:rsidR="00134098" w:rsidRPr="000E0C38">
        <w:fldChar w:fldCharType="begin"/>
      </w:r>
      <w:r w:rsidR="00134098" w:rsidRPr="000E0C38">
        <w:instrText xml:space="preserve"> REF _Ref492036851 \h  \* MERGEFORMAT </w:instrText>
      </w:r>
      <w:r w:rsidR="00134098" w:rsidRPr="000E0C38">
        <w:fldChar w:fldCharType="separate"/>
      </w:r>
      <w:r w:rsidR="001A6968" w:rsidRPr="000E0C38">
        <w:rPr>
          <w:rFonts w:ascii="Arial" w:hAnsi="Arial" w:cs="Arial"/>
          <w:sz w:val="20"/>
          <w:szCs w:val="20"/>
        </w:rPr>
        <w:t>Figure 1</w:t>
      </w:r>
      <w:r w:rsidR="00134098" w:rsidRPr="000E0C38">
        <w:fldChar w:fldCharType="end"/>
      </w:r>
      <w:r w:rsidR="00F01A50" w:rsidRPr="000E0C38">
        <w:rPr>
          <w:rFonts w:ascii="Arial" w:eastAsia="SimSun" w:hAnsi="Arial" w:cs="Arial"/>
          <w:sz w:val="20"/>
          <w:szCs w:val="20"/>
          <w:lang w:eastAsia="zh-CN"/>
        </w:rPr>
        <w:t xml:space="preserve"> shows that m</w:t>
      </w:r>
      <w:r w:rsidRPr="000E0C38">
        <w:rPr>
          <w:rFonts w:ascii="Arial" w:eastAsia="SimSun" w:hAnsi="Arial" w:cs="Arial"/>
          <w:sz w:val="20"/>
          <w:szCs w:val="20"/>
          <w:lang w:eastAsia="zh-CN"/>
        </w:rPr>
        <w:t xml:space="preserve">ost DFID </w:t>
      </w:r>
      <w:r w:rsidR="00F01A50" w:rsidRPr="000E0C38">
        <w:rPr>
          <w:rFonts w:ascii="Arial" w:eastAsia="SimSun" w:hAnsi="Arial" w:cs="Arial"/>
          <w:sz w:val="20"/>
          <w:szCs w:val="20"/>
          <w:lang w:eastAsia="zh-CN"/>
        </w:rPr>
        <w:t xml:space="preserve">focus </w:t>
      </w:r>
      <w:r w:rsidRPr="000E0C38">
        <w:rPr>
          <w:rFonts w:ascii="Arial" w:eastAsia="SimSun" w:hAnsi="Arial" w:cs="Arial"/>
          <w:sz w:val="20"/>
          <w:szCs w:val="20"/>
          <w:lang w:eastAsia="zh-CN"/>
        </w:rPr>
        <w:t>countries have</w:t>
      </w:r>
      <w:r w:rsidR="00F01A50"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smaller than</w:t>
      </w:r>
      <w:r w:rsidR="00F01A50" w:rsidRPr="000E0C38">
        <w:rPr>
          <w:rFonts w:ascii="Arial" w:eastAsia="SimSun" w:hAnsi="Arial" w:cs="Arial"/>
          <w:sz w:val="20"/>
          <w:szCs w:val="20"/>
          <w:lang w:eastAsia="zh-CN"/>
        </w:rPr>
        <w:t xml:space="preserve"> global </w:t>
      </w:r>
      <w:r w:rsidRPr="000E0C38">
        <w:rPr>
          <w:rFonts w:ascii="Arial" w:eastAsia="SimSun" w:hAnsi="Arial" w:cs="Arial"/>
          <w:sz w:val="20"/>
          <w:szCs w:val="20"/>
          <w:lang w:eastAsia="zh-CN"/>
        </w:rPr>
        <w:t xml:space="preserve">average </w:t>
      </w:r>
      <w:r w:rsidR="00F01A50" w:rsidRPr="000E0C38">
        <w:rPr>
          <w:rFonts w:ascii="Arial" w:eastAsia="SimSun" w:hAnsi="Arial" w:cs="Arial"/>
          <w:sz w:val="20"/>
          <w:szCs w:val="20"/>
          <w:lang w:eastAsia="zh-CN"/>
        </w:rPr>
        <w:t xml:space="preserve">construction </w:t>
      </w:r>
      <w:r w:rsidRPr="000E0C38">
        <w:rPr>
          <w:rFonts w:ascii="Arial" w:eastAsia="SimSun" w:hAnsi="Arial" w:cs="Arial"/>
          <w:sz w:val="20"/>
          <w:szCs w:val="20"/>
          <w:lang w:eastAsia="zh-CN"/>
        </w:rPr>
        <w:t xml:space="preserve">sector </w:t>
      </w:r>
      <w:r w:rsidR="00F01A50" w:rsidRPr="000E0C38">
        <w:rPr>
          <w:rFonts w:ascii="Arial" w:eastAsia="SimSun" w:hAnsi="Arial" w:cs="Arial"/>
          <w:sz w:val="20"/>
          <w:szCs w:val="20"/>
          <w:lang w:eastAsia="zh-CN"/>
        </w:rPr>
        <w:t xml:space="preserve">employment, </w:t>
      </w:r>
      <w:r w:rsidRPr="000E0C38">
        <w:rPr>
          <w:rFonts w:ascii="Arial" w:eastAsia="SimSun" w:hAnsi="Arial" w:cs="Arial"/>
          <w:sz w:val="20"/>
          <w:szCs w:val="20"/>
          <w:lang w:eastAsia="zh-CN"/>
        </w:rPr>
        <w:t>but</w:t>
      </w:r>
      <w:r w:rsidR="00C03712" w:rsidRPr="000E0C38">
        <w:rPr>
          <w:rFonts w:ascii="Times New Roman" w:eastAsia="SimSun" w:hAnsi="Times New Roman"/>
          <w:szCs w:val="22"/>
          <w:lang w:eastAsia="zh-CN"/>
        </w:rPr>
        <w:t xml:space="preserve"> </w:t>
      </w:r>
      <w:r w:rsidR="00F01A50" w:rsidRPr="000E0C38">
        <w:rPr>
          <w:rFonts w:ascii="Arial" w:eastAsia="SimSun" w:hAnsi="Arial" w:cs="Arial"/>
          <w:sz w:val="20"/>
          <w:szCs w:val="20"/>
          <w:lang w:eastAsia="zh-CN"/>
        </w:rPr>
        <w:t>are growing at a faster than average rate</w:t>
      </w:r>
      <w:r w:rsidR="00EB640C"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w:t>
      </w:r>
      <w:r w:rsidR="003A41E9" w:rsidRPr="000E0C38">
        <w:rPr>
          <w:rFonts w:ascii="Arial" w:eastAsia="SimSun" w:hAnsi="Arial" w:cs="Arial"/>
          <w:sz w:val="20"/>
          <w:szCs w:val="20"/>
          <w:lang w:eastAsia="zh-CN"/>
        </w:rPr>
        <w:t>The impact of i</w:t>
      </w:r>
      <w:r w:rsidR="00F01A50" w:rsidRPr="000E0C38">
        <w:rPr>
          <w:rFonts w:ascii="Arial" w:eastAsia="SimSun" w:hAnsi="Arial" w:cs="Arial"/>
          <w:sz w:val="20"/>
          <w:szCs w:val="20"/>
          <w:lang w:eastAsia="zh-CN"/>
        </w:rPr>
        <w:t xml:space="preserve">nvesting in improving construction sector employment in these countries has the potential to </w:t>
      </w:r>
      <w:r w:rsidR="003A41E9" w:rsidRPr="000E0C38">
        <w:rPr>
          <w:rFonts w:ascii="Arial" w:eastAsia="SimSun" w:hAnsi="Arial" w:cs="Arial"/>
          <w:sz w:val="20"/>
          <w:szCs w:val="20"/>
          <w:lang w:eastAsia="zh-CN"/>
        </w:rPr>
        <w:t xml:space="preserve">reach </w:t>
      </w:r>
      <w:r w:rsidR="00F01A50" w:rsidRPr="000E0C38">
        <w:rPr>
          <w:rFonts w:ascii="Arial" w:eastAsia="SimSun" w:hAnsi="Arial" w:cs="Arial"/>
          <w:sz w:val="20"/>
          <w:szCs w:val="20"/>
          <w:lang w:eastAsia="zh-CN"/>
        </w:rPr>
        <w:t>a growing proportion of the population. Uganda (9.9</w:t>
      </w:r>
      <w:r w:rsidR="009E64CA" w:rsidRPr="000E0C38">
        <w:rPr>
          <w:rFonts w:ascii="Arial" w:eastAsia="SimSun" w:hAnsi="Arial" w:cs="Arial"/>
          <w:sz w:val="20"/>
          <w:szCs w:val="20"/>
          <w:lang w:eastAsia="zh-CN"/>
        </w:rPr>
        <w:t xml:space="preserve"> per cent</w:t>
      </w:r>
      <w:r w:rsidR="00F01A50" w:rsidRPr="000E0C38">
        <w:rPr>
          <w:rFonts w:ascii="Arial" w:eastAsia="SimSun" w:hAnsi="Arial" w:cs="Arial"/>
          <w:sz w:val="20"/>
          <w:szCs w:val="20"/>
          <w:lang w:eastAsia="zh-CN"/>
        </w:rPr>
        <w:t xml:space="preserve">), </w:t>
      </w:r>
      <w:r w:rsidR="00F01A50" w:rsidRPr="000E0C38">
        <w:rPr>
          <w:rFonts w:ascii="Arial" w:eastAsia="SimSun" w:hAnsi="Arial" w:cs="Arial"/>
          <w:sz w:val="20"/>
          <w:szCs w:val="20"/>
          <w:lang w:eastAsia="zh-CN"/>
        </w:rPr>
        <w:lastRenderedPageBreak/>
        <w:t>Afghanistan (8.9</w:t>
      </w:r>
      <w:r w:rsidR="009E64CA" w:rsidRPr="000E0C38">
        <w:rPr>
          <w:rFonts w:ascii="Arial" w:eastAsia="SimSun" w:hAnsi="Arial" w:cs="Arial"/>
          <w:sz w:val="20"/>
          <w:szCs w:val="20"/>
          <w:lang w:eastAsia="zh-CN"/>
        </w:rPr>
        <w:t xml:space="preserve"> per cent</w:t>
      </w:r>
      <w:r w:rsidR="00F01A50" w:rsidRPr="000E0C38">
        <w:rPr>
          <w:rFonts w:ascii="Arial" w:eastAsia="SimSun" w:hAnsi="Arial" w:cs="Arial"/>
          <w:sz w:val="20"/>
          <w:szCs w:val="20"/>
          <w:lang w:eastAsia="zh-CN"/>
        </w:rPr>
        <w:t>) and Ethiopia (7.7</w:t>
      </w:r>
      <w:r w:rsidR="009E64CA" w:rsidRPr="000E0C38">
        <w:rPr>
          <w:rFonts w:ascii="Arial" w:eastAsia="SimSun" w:hAnsi="Arial" w:cs="Arial"/>
          <w:sz w:val="20"/>
          <w:szCs w:val="20"/>
          <w:lang w:eastAsia="zh-CN"/>
        </w:rPr>
        <w:t xml:space="preserve"> per cent</w:t>
      </w:r>
      <w:r w:rsidR="00F01A50" w:rsidRPr="000E0C38">
        <w:rPr>
          <w:rFonts w:ascii="Arial" w:eastAsia="SimSun" w:hAnsi="Arial" w:cs="Arial"/>
          <w:sz w:val="20"/>
          <w:szCs w:val="20"/>
          <w:lang w:eastAsia="zh-CN"/>
        </w:rPr>
        <w:t xml:space="preserve">) </w:t>
      </w:r>
      <w:r w:rsidR="00277988" w:rsidRPr="000E0C38">
        <w:rPr>
          <w:rFonts w:ascii="Arial" w:eastAsia="SimSun" w:hAnsi="Arial" w:cs="Arial"/>
          <w:sz w:val="20"/>
          <w:szCs w:val="20"/>
          <w:lang w:eastAsia="zh-CN"/>
        </w:rPr>
        <w:t>have</w:t>
      </w:r>
      <w:r w:rsidR="003A41E9" w:rsidRPr="000E0C38">
        <w:rPr>
          <w:rFonts w:ascii="Arial" w:eastAsia="SimSun" w:hAnsi="Arial" w:cs="Arial"/>
          <w:sz w:val="20"/>
          <w:szCs w:val="20"/>
          <w:lang w:eastAsia="zh-CN"/>
        </w:rPr>
        <w:t xml:space="preserve"> the</w:t>
      </w:r>
      <w:r w:rsidR="00F01A50" w:rsidRPr="000E0C38">
        <w:rPr>
          <w:rFonts w:ascii="Arial" w:eastAsia="SimSun" w:hAnsi="Arial" w:cs="Arial"/>
          <w:sz w:val="20"/>
          <w:szCs w:val="20"/>
          <w:lang w:eastAsia="zh-CN"/>
        </w:rPr>
        <w:t xml:space="preserve"> highest expected annual average employment growth to 2019. </w:t>
      </w:r>
      <w:r w:rsidRPr="000E0C38">
        <w:rPr>
          <w:rFonts w:ascii="Arial" w:eastAsia="SimSun" w:hAnsi="Arial" w:cs="Arial"/>
          <w:sz w:val="20"/>
          <w:szCs w:val="20"/>
          <w:lang w:eastAsia="zh-CN"/>
        </w:rPr>
        <w:t xml:space="preserve">Countries in the bottom right quadrant (Kyrgyzstan) have a large construction sector with low expected employment growth. </w:t>
      </w:r>
      <w:r w:rsidR="00F01A50" w:rsidRPr="000E0C38">
        <w:rPr>
          <w:rFonts w:ascii="Arial" w:eastAsia="SimSun" w:hAnsi="Arial" w:cs="Arial"/>
          <w:sz w:val="20"/>
          <w:szCs w:val="20"/>
          <w:lang w:eastAsia="zh-CN"/>
        </w:rPr>
        <w:t>It follows that investment in these countries may be able to improve employment conditions, but would be less likely to increase the number of jobs on a large scale.</w:t>
      </w:r>
    </w:p>
    <w:p w14:paraId="3534C50A" w14:textId="77777777" w:rsidR="00531B46" w:rsidRPr="000E0C38" w:rsidRDefault="00531B46" w:rsidP="00432BEF">
      <w:pPr>
        <w:pStyle w:val="Heading2"/>
        <w:spacing w:before="0" w:after="120"/>
        <w:rPr>
          <w:lang w:eastAsia="zh-CN"/>
        </w:rPr>
      </w:pPr>
      <w:bookmarkStart w:id="9" w:name="_Toc498019387"/>
      <w:r w:rsidRPr="000E0C38">
        <w:rPr>
          <w:lang w:eastAsia="zh-CN"/>
        </w:rPr>
        <w:t>1</w:t>
      </w:r>
      <w:r w:rsidR="00067D95" w:rsidRPr="000E0C38">
        <w:rPr>
          <w:lang w:eastAsia="zh-CN"/>
        </w:rPr>
        <w:t xml:space="preserve">.2 </w:t>
      </w:r>
      <w:r w:rsidRPr="000E0C38">
        <w:rPr>
          <w:lang w:eastAsia="zh-CN"/>
        </w:rPr>
        <w:t>Foreign participation</w:t>
      </w:r>
      <w:bookmarkEnd w:id="9"/>
    </w:p>
    <w:p w14:paraId="4477DC03" w14:textId="77777777" w:rsidR="00531B46" w:rsidRPr="000E0C38" w:rsidRDefault="00531B46" w:rsidP="00432BEF">
      <w:pPr>
        <w:spacing w:after="6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Migrants have long been a structural component of the construction workforce in many countries. The International Migration Report (2015) of the UN Department of Economic and Social Affairs compiles estimates of migrants living for one year or longer in a country other than the one in which he or she was </w:t>
      </w:r>
      <w:proofErr w:type="gramStart"/>
      <w:r w:rsidRPr="000E0C38">
        <w:rPr>
          <w:rFonts w:ascii="Arial" w:eastAsia="SimSun" w:hAnsi="Arial" w:cs="Arial"/>
          <w:sz w:val="20"/>
          <w:szCs w:val="20"/>
          <w:lang w:eastAsia="zh-CN"/>
        </w:rPr>
        <w:t>born.</w:t>
      </w:r>
      <w:r w:rsidRPr="000E0C38">
        <w:rPr>
          <w:rStyle w:val="FootnoteReference"/>
          <w:rFonts w:ascii="Arial" w:eastAsia="SimSun" w:hAnsi="Arial" w:cs="Arial"/>
          <w:sz w:val="20"/>
          <w:szCs w:val="20"/>
          <w:lang w:eastAsia="zh-CN"/>
        </w:rPr>
        <w:footnoteReference w:id="16"/>
      </w:r>
      <w:r w:rsidR="00D300FA" w:rsidRPr="000E0C38">
        <w:rPr>
          <w:rFonts w:ascii="Arial" w:eastAsia="SimSun" w:hAnsi="Arial" w:cs="Arial"/>
          <w:sz w:val="20"/>
          <w:szCs w:val="20"/>
          <w:vertAlign w:val="superscript"/>
          <w:lang w:eastAsia="zh-CN"/>
        </w:rPr>
        <w:t>,</w:t>
      </w:r>
      <w:proofErr w:type="gramEnd"/>
      <w:r w:rsidRPr="000E0C38">
        <w:rPr>
          <w:rStyle w:val="FootnoteReference"/>
          <w:rFonts w:ascii="Arial" w:eastAsia="SimSun" w:hAnsi="Arial" w:cs="Arial"/>
          <w:sz w:val="20"/>
          <w:szCs w:val="20"/>
          <w:lang w:eastAsia="zh-CN"/>
        </w:rPr>
        <w:footnoteReference w:id="17"/>
      </w:r>
      <w:r w:rsidRPr="000E0C38">
        <w:rPr>
          <w:rFonts w:ascii="Arial" w:eastAsia="SimSun" w:hAnsi="Arial" w:cs="Arial"/>
          <w:sz w:val="20"/>
          <w:szCs w:val="20"/>
          <w:lang w:eastAsia="zh-CN"/>
        </w:rPr>
        <w:t xml:space="preserve"> </w:t>
      </w:r>
      <w:r w:rsidR="00C83286" w:rsidRPr="000E0C38">
        <w:rPr>
          <w:rFonts w:ascii="Arial" w:eastAsia="SimSun" w:hAnsi="Arial" w:cs="Arial"/>
          <w:sz w:val="20"/>
          <w:szCs w:val="20"/>
          <w:lang w:eastAsia="zh-CN"/>
        </w:rPr>
        <w:t xml:space="preserve">Data includes both labour migrants as well as accompanying family and students. Information should therefore be understood as a proxy of labour migration. </w:t>
      </w:r>
      <w:r w:rsidRPr="000E0C38">
        <w:rPr>
          <w:rFonts w:ascii="Arial" w:eastAsia="SimSun" w:hAnsi="Arial" w:cs="Arial"/>
          <w:sz w:val="20"/>
          <w:szCs w:val="20"/>
          <w:lang w:eastAsia="zh-CN"/>
        </w:rPr>
        <w:t>Table 1</w:t>
      </w:r>
      <w:r w:rsidR="008C3D58"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shows that migrants as a percentage of the total population in DFID focus co</w:t>
      </w:r>
      <w:r w:rsidR="00EB640C" w:rsidRPr="000E0C38">
        <w:rPr>
          <w:rFonts w:ascii="Arial" w:eastAsia="SimSun" w:hAnsi="Arial" w:cs="Arial"/>
          <w:sz w:val="20"/>
          <w:szCs w:val="20"/>
          <w:lang w:eastAsia="zh-CN"/>
        </w:rPr>
        <w:t xml:space="preserve">untries ranged from 0 to </w:t>
      </w:r>
      <w:r w:rsidRPr="000E0C38">
        <w:rPr>
          <w:rFonts w:ascii="Arial" w:eastAsia="SimSun" w:hAnsi="Arial" w:cs="Arial"/>
          <w:sz w:val="20"/>
          <w:szCs w:val="20"/>
          <w:lang w:eastAsia="zh-CN"/>
        </w:rPr>
        <w:t>7 per cent in 2015.</w:t>
      </w:r>
      <w:r w:rsidR="00C83286" w:rsidRPr="000E0C38">
        <w:rPr>
          <w:rFonts w:ascii="Arial" w:eastAsia="SimSun" w:hAnsi="Arial" w:cs="Arial"/>
          <w:sz w:val="20"/>
          <w:szCs w:val="20"/>
          <w:lang w:eastAsia="zh-CN"/>
        </w:rPr>
        <w:t xml:space="preserve"> </w:t>
      </w:r>
    </w:p>
    <w:p w14:paraId="45402E97" w14:textId="6570F82D" w:rsidR="00531B46" w:rsidRPr="000E0C38" w:rsidRDefault="00531B46" w:rsidP="00531B46">
      <w:pPr>
        <w:pStyle w:val="Caption"/>
        <w:keepNext/>
        <w:spacing w:after="120"/>
        <w:rPr>
          <w:b/>
          <w:sz w:val="20"/>
        </w:rPr>
      </w:pPr>
      <w:bookmarkStart w:id="10" w:name="_Ref492039462"/>
      <w:r w:rsidRPr="000E0C38">
        <w:rPr>
          <w:b/>
          <w:sz w:val="20"/>
        </w:rPr>
        <w:t xml:space="preserve">Table </w:t>
      </w:r>
      <w:r w:rsidR="00226ED7" w:rsidRPr="000E0C38">
        <w:rPr>
          <w:b/>
          <w:sz w:val="20"/>
        </w:rPr>
        <w:fldChar w:fldCharType="begin"/>
      </w:r>
      <w:r w:rsidRPr="000E0C38">
        <w:rPr>
          <w:b/>
          <w:sz w:val="20"/>
        </w:rPr>
        <w:instrText xml:space="preserve"> SEQ Table \* ARABIC </w:instrText>
      </w:r>
      <w:r w:rsidR="00226ED7" w:rsidRPr="000E0C38">
        <w:rPr>
          <w:b/>
          <w:sz w:val="20"/>
        </w:rPr>
        <w:fldChar w:fldCharType="separate"/>
      </w:r>
      <w:r w:rsidR="001A6968" w:rsidRPr="000E0C38">
        <w:rPr>
          <w:b/>
          <w:sz w:val="20"/>
        </w:rPr>
        <w:t>1</w:t>
      </w:r>
      <w:r w:rsidR="00226ED7" w:rsidRPr="000E0C38">
        <w:rPr>
          <w:b/>
          <w:sz w:val="20"/>
        </w:rPr>
        <w:fldChar w:fldCharType="end"/>
      </w:r>
      <w:bookmarkEnd w:id="10"/>
      <w:r w:rsidRPr="000E0C38">
        <w:rPr>
          <w:b/>
          <w:sz w:val="20"/>
        </w:rPr>
        <w:t xml:space="preserve">: </w:t>
      </w:r>
      <w:r w:rsidRPr="000E0C38">
        <w:rPr>
          <w:rFonts w:eastAsia="SimSun" w:cs="Arial"/>
          <w:b/>
          <w:sz w:val="20"/>
          <w:lang w:eastAsia="zh-CN"/>
        </w:rPr>
        <w:t xml:space="preserve">Foreign </w:t>
      </w:r>
      <w:r w:rsidR="004840A2" w:rsidRPr="000E0C38">
        <w:rPr>
          <w:rFonts w:eastAsia="SimSun" w:cs="Arial"/>
          <w:b/>
          <w:sz w:val="20"/>
          <w:lang w:eastAsia="zh-CN"/>
        </w:rPr>
        <w:t>presence</w:t>
      </w:r>
      <w:r w:rsidRPr="000E0C38">
        <w:rPr>
          <w:rFonts w:eastAsia="SimSun" w:cs="Arial"/>
          <w:b/>
          <w:sz w:val="20"/>
          <w:lang w:eastAsia="zh-CN"/>
        </w:rPr>
        <w:t xml:space="preserve"> in DFID countries of focus</w:t>
      </w:r>
    </w:p>
    <w:tbl>
      <w:tblPr>
        <w:tblStyle w:val="Normaltablestyle"/>
        <w:tblW w:w="9220" w:type="dxa"/>
        <w:tblLook w:val="04A0" w:firstRow="1" w:lastRow="0" w:firstColumn="1" w:lastColumn="0" w:noHBand="0" w:noVBand="1"/>
      </w:tblPr>
      <w:tblGrid>
        <w:gridCol w:w="3402"/>
        <w:gridCol w:w="828"/>
        <w:gridCol w:w="924"/>
        <w:gridCol w:w="74"/>
        <w:gridCol w:w="998"/>
        <w:gridCol w:w="924"/>
        <w:gridCol w:w="74"/>
        <w:gridCol w:w="998"/>
        <w:gridCol w:w="998"/>
      </w:tblGrid>
      <w:tr w:rsidR="00277988" w:rsidRPr="000E0C38" w14:paraId="3C436041" w14:textId="77777777" w:rsidTr="00277988">
        <w:trPr>
          <w:cnfStyle w:val="100000000000" w:firstRow="1" w:lastRow="0" w:firstColumn="0" w:lastColumn="0" w:oddVBand="0" w:evenVBand="0" w:oddHBand="0" w:evenHBand="0" w:firstRowFirstColumn="0" w:firstRowLastColumn="0" w:lastRowFirstColumn="0" w:lastRowLastColumn="0"/>
          <w:trHeight w:val="300"/>
        </w:trPr>
        <w:tc>
          <w:tcPr>
            <w:tcW w:w="3402" w:type="dxa"/>
            <w:shd w:val="clear" w:color="auto" w:fill="CBD1EE" w:themeFill="text2" w:themeFillTint="33"/>
            <w:noWrap/>
            <w:hideMark/>
          </w:tcPr>
          <w:p w14:paraId="4A4825FB" w14:textId="77777777" w:rsidR="00531B46" w:rsidRPr="000E0C38" w:rsidRDefault="00531B46" w:rsidP="00593181">
            <w:pPr>
              <w:rPr>
                <w:rFonts w:eastAsia="Times New Roman" w:cstheme="minorHAnsi"/>
                <w:color w:val="auto"/>
                <w:sz w:val="20"/>
                <w:szCs w:val="20"/>
                <w:lang w:eastAsia="zh-CN"/>
              </w:rPr>
            </w:pPr>
          </w:p>
        </w:tc>
        <w:tc>
          <w:tcPr>
            <w:tcW w:w="1752" w:type="dxa"/>
            <w:gridSpan w:val="2"/>
            <w:shd w:val="clear" w:color="auto" w:fill="CBD1EE" w:themeFill="text2" w:themeFillTint="33"/>
            <w:noWrap/>
            <w:hideMark/>
          </w:tcPr>
          <w:p w14:paraId="4CE5E0D4" w14:textId="13C175A0" w:rsidR="000A67A9" w:rsidRPr="000E0C38" w:rsidRDefault="00531B46" w:rsidP="00432BEF">
            <w:pPr>
              <w:jc w:val="center"/>
              <w:rPr>
                <w:rFonts w:eastAsia="Times New Roman" w:cstheme="minorHAnsi"/>
                <w:color w:val="auto"/>
                <w:sz w:val="20"/>
                <w:szCs w:val="20"/>
                <w:lang w:eastAsia="zh-CN"/>
              </w:rPr>
            </w:pPr>
            <w:r w:rsidRPr="000E0C38">
              <w:rPr>
                <w:rFonts w:eastAsia="Times New Roman" w:cstheme="minorHAnsi"/>
                <w:color w:val="auto"/>
                <w:sz w:val="20"/>
                <w:szCs w:val="20"/>
                <w:lang w:eastAsia="zh-CN"/>
              </w:rPr>
              <w:t>Number of migrants (thousands)</w:t>
            </w:r>
          </w:p>
        </w:tc>
        <w:tc>
          <w:tcPr>
            <w:tcW w:w="1996" w:type="dxa"/>
            <w:gridSpan w:val="3"/>
            <w:shd w:val="clear" w:color="auto" w:fill="CBD1EE" w:themeFill="text2" w:themeFillTint="33"/>
            <w:noWrap/>
            <w:hideMark/>
          </w:tcPr>
          <w:p w14:paraId="29EF0C45" w14:textId="77777777" w:rsidR="00531B46" w:rsidRPr="000E0C38" w:rsidRDefault="00531B46" w:rsidP="00432BEF">
            <w:pPr>
              <w:jc w:val="center"/>
              <w:rPr>
                <w:rFonts w:eastAsia="Times New Roman" w:cstheme="minorHAnsi"/>
                <w:color w:val="auto"/>
                <w:sz w:val="20"/>
                <w:szCs w:val="20"/>
                <w:lang w:eastAsia="zh-CN"/>
              </w:rPr>
            </w:pPr>
            <w:r w:rsidRPr="000E0C38">
              <w:rPr>
                <w:rFonts w:eastAsia="Times New Roman" w:cstheme="minorHAnsi"/>
                <w:color w:val="auto"/>
                <w:sz w:val="20"/>
                <w:szCs w:val="20"/>
                <w:lang w:eastAsia="zh-CN"/>
              </w:rPr>
              <w:t>Migrants as a percentage of total population</w:t>
            </w:r>
          </w:p>
        </w:tc>
        <w:tc>
          <w:tcPr>
            <w:tcW w:w="2070" w:type="dxa"/>
            <w:gridSpan w:val="3"/>
            <w:shd w:val="clear" w:color="auto" w:fill="CBD1EE" w:themeFill="text2" w:themeFillTint="33"/>
            <w:noWrap/>
            <w:hideMark/>
          </w:tcPr>
          <w:p w14:paraId="52B67215" w14:textId="77777777" w:rsidR="00531B46" w:rsidRPr="000E0C38" w:rsidRDefault="00531B46" w:rsidP="00432BEF">
            <w:pPr>
              <w:jc w:val="center"/>
              <w:rPr>
                <w:rFonts w:eastAsia="Times New Roman" w:cstheme="minorHAnsi"/>
                <w:color w:val="auto"/>
                <w:sz w:val="20"/>
                <w:szCs w:val="20"/>
                <w:lang w:eastAsia="zh-CN"/>
              </w:rPr>
            </w:pPr>
            <w:r w:rsidRPr="000E0C38">
              <w:rPr>
                <w:rFonts w:eastAsia="Times New Roman" w:cstheme="minorHAnsi"/>
                <w:color w:val="auto"/>
                <w:sz w:val="20"/>
                <w:szCs w:val="20"/>
                <w:lang w:eastAsia="zh-CN"/>
              </w:rPr>
              <w:t>Female share of migrants (percentage)</w:t>
            </w:r>
          </w:p>
        </w:tc>
      </w:tr>
      <w:tr w:rsidR="00277988" w:rsidRPr="000E0C38" w14:paraId="277D20BA" w14:textId="77777777" w:rsidTr="00277988">
        <w:trPr>
          <w:cnfStyle w:val="000000100000" w:firstRow="0" w:lastRow="0" w:firstColumn="0" w:lastColumn="0" w:oddVBand="0" w:evenVBand="0" w:oddHBand="1" w:evenHBand="0" w:firstRowFirstColumn="0" w:firstRowLastColumn="0" w:lastRowFirstColumn="0" w:lastRowLastColumn="0"/>
          <w:trHeight w:val="90"/>
        </w:trPr>
        <w:tc>
          <w:tcPr>
            <w:tcW w:w="3402" w:type="dxa"/>
            <w:shd w:val="clear" w:color="auto" w:fill="CBD1EE" w:themeFill="text2" w:themeFillTint="33"/>
            <w:noWrap/>
            <w:hideMark/>
          </w:tcPr>
          <w:p w14:paraId="7FD0622B" w14:textId="77777777" w:rsidR="00531B46" w:rsidRPr="000E0C38" w:rsidRDefault="00531B46" w:rsidP="00593181">
            <w:pPr>
              <w:rPr>
                <w:rFonts w:eastAsia="Times New Roman" w:cstheme="minorHAnsi"/>
                <w:b/>
                <w:sz w:val="18"/>
                <w:szCs w:val="20"/>
                <w:lang w:eastAsia="zh-CN"/>
              </w:rPr>
            </w:pPr>
            <w:r w:rsidRPr="000E0C38">
              <w:rPr>
                <w:rFonts w:eastAsia="Times New Roman" w:cstheme="minorHAnsi"/>
                <w:b/>
                <w:sz w:val="18"/>
                <w:szCs w:val="20"/>
                <w:lang w:eastAsia="zh-CN"/>
              </w:rPr>
              <w:t>Country</w:t>
            </w:r>
          </w:p>
        </w:tc>
        <w:tc>
          <w:tcPr>
            <w:tcW w:w="828" w:type="dxa"/>
            <w:shd w:val="clear" w:color="auto" w:fill="CBD1EE" w:themeFill="text2" w:themeFillTint="33"/>
            <w:noWrap/>
            <w:hideMark/>
          </w:tcPr>
          <w:p w14:paraId="7853138A" w14:textId="77777777" w:rsidR="00531B46" w:rsidRPr="000E0C38" w:rsidRDefault="00531B46" w:rsidP="00432BEF">
            <w:pPr>
              <w:jc w:val="right"/>
              <w:rPr>
                <w:rFonts w:eastAsia="Times New Roman" w:cstheme="minorHAnsi"/>
                <w:b/>
                <w:sz w:val="18"/>
                <w:szCs w:val="20"/>
                <w:lang w:eastAsia="zh-CN"/>
              </w:rPr>
            </w:pPr>
            <w:r w:rsidRPr="000E0C38">
              <w:rPr>
                <w:rFonts w:eastAsia="Times New Roman" w:cstheme="minorHAnsi"/>
                <w:b/>
                <w:sz w:val="18"/>
                <w:szCs w:val="20"/>
                <w:lang w:eastAsia="zh-CN"/>
              </w:rPr>
              <w:t>2000</w:t>
            </w:r>
          </w:p>
        </w:tc>
        <w:tc>
          <w:tcPr>
            <w:tcW w:w="998" w:type="dxa"/>
            <w:gridSpan w:val="2"/>
            <w:shd w:val="clear" w:color="auto" w:fill="CBD1EE" w:themeFill="text2" w:themeFillTint="33"/>
            <w:noWrap/>
            <w:hideMark/>
          </w:tcPr>
          <w:p w14:paraId="26218228" w14:textId="77777777" w:rsidR="00531B46" w:rsidRPr="000E0C38" w:rsidRDefault="00531B46" w:rsidP="00432BEF">
            <w:pPr>
              <w:jc w:val="right"/>
              <w:rPr>
                <w:rFonts w:eastAsia="Times New Roman" w:cstheme="minorHAnsi"/>
                <w:b/>
                <w:sz w:val="18"/>
                <w:szCs w:val="20"/>
                <w:lang w:eastAsia="zh-CN"/>
              </w:rPr>
            </w:pPr>
            <w:r w:rsidRPr="000E0C38">
              <w:rPr>
                <w:rFonts w:eastAsia="Times New Roman" w:cstheme="minorHAnsi"/>
                <w:b/>
                <w:sz w:val="18"/>
                <w:szCs w:val="20"/>
                <w:lang w:eastAsia="zh-CN"/>
              </w:rPr>
              <w:t>2015</w:t>
            </w:r>
          </w:p>
        </w:tc>
        <w:tc>
          <w:tcPr>
            <w:tcW w:w="998" w:type="dxa"/>
            <w:shd w:val="clear" w:color="auto" w:fill="CBD1EE" w:themeFill="text2" w:themeFillTint="33"/>
            <w:noWrap/>
            <w:hideMark/>
          </w:tcPr>
          <w:p w14:paraId="6E8AF718" w14:textId="77777777" w:rsidR="00531B46" w:rsidRPr="000E0C38" w:rsidRDefault="00531B46" w:rsidP="00432BEF">
            <w:pPr>
              <w:jc w:val="right"/>
              <w:rPr>
                <w:rFonts w:eastAsia="Times New Roman" w:cstheme="minorHAnsi"/>
                <w:b/>
                <w:sz w:val="18"/>
                <w:szCs w:val="20"/>
                <w:lang w:eastAsia="zh-CN"/>
              </w:rPr>
            </w:pPr>
            <w:r w:rsidRPr="000E0C38">
              <w:rPr>
                <w:rFonts w:eastAsia="Times New Roman" w:cstheme="minorHAnsi"/>
                <w:b/>
                <w:sz w:val="18"/>
                <w:szCs w:val="20"/>
                <w:lang w:eastAsia="zh-CN"/>
              </w:rPr>
              <w:t>2000</w:t>
            </w:r>
          </w:p>
        </w:tc>
        <w:tc>
          <w:tcPr>
            <w:tcW w:w="998" w:type="dxa"/>
            <w:gridSpan w:val="2"/>
            <w:shd w:val="clear" w:color="auto" w:fill="CBD1EE" w:themeFill="text2" w:themeFillTint="33"/>
            <w:noWrap/>
            <w:hideMark/>
          </w:tcPr>
          <w:p w14:paraId="64364742" w14:textId="77777777" w:rsidR="00531B46" w:rsidRPr="000E0C38" w:rsidRDefault="00531B46" w:rsidP="00432BEF">
            <w:pPr>
              <w:jc w:val="right"/>
              <w:rPr>
                <w:rFonts w:eastAsia="Times New Roman" w:cstheme="minorHAnsi"/>
                <w:b/>
                <w:sz w:val="18"/>
                <w:szCs w:val="20"/>
                <w:lang w:eastAsia="zh-CN"/>
              </w:rPr>
            </w:pPr>
            <w:r w:rsidRPr="000E0C38">
              <w:rPr>
                <w:rFonts w:eastAsia="Times New Roman" w:cstheme="minorHAnsi"/>
                <w:b/>
                <w:sz w:val="18"/>
                <w:szCs w:val="20"/>
                <w:lang w:eastAsia="zh-CN"/>
              </w:rPr>
              <w:t>2015</w:t>
            </w:r>
          </w:p>
        </w:tc>
        <w:tc>
          <w:tcPr>
            <w:tcW w:w="998" w:type="dxa"/>
            <w:shd w:val="clear" w:color="auto" w:fill="CBD1EE" w:themeFill="text2" w:themeFillTint="33"/>
            <w:noWrap/>
            <w:hideMark/>
          </w:tcPr>
          <w:p w14:paraId="11588C6A" w14:textId="77777777" w:rsidR="00531B46" w:rsidRPr="000E0C38" w:rsidRDefault="00531B46" w:rsidP="00432BEF">
            <w:pPr>
              <w:jc w:val="right"/>
              <w:rPr>
                <w:rFonts w:eastAsia="Times New Roman" w:cstheme="minorHAnsi"/>
                <w:b/>
                <w:sz w:val="18"/>
                <w:szCs w:val="20"/>
                <w:lang w:eastAsia="zh-CN"/>
              </w:rPr>
            </w:pPr>
            <w:r w:rsidRPr="000E0C38">
              <w:rPr>
                <w:rFonts w:eastAsia="Times New Roman" w:cstheme="minorHAnsi"/>
                <w:b/>
                <w:sz w:val="18"/>
                <w:szCs w:val="20"/>
                <w:lang w:eastAsia="zh-CN"/>
              </w:rPr>
              <w:t>2010</w:t>
            </w:r>
          </w:p>
        </w:tc>
        <w:tc>
          <w:tcPr>
            <w:tcW w:w="998" w:type="dxa"/>
            <w:shd w:val="clear" w:color="auto" w:fill="CBD1EE" w:themeFill="text2" w:themeFillTint="33"/>
            <w:noWrap/>
            <w:hideMark/>
          </w:tcPr>
          <w:p w14:paraId="0D0F8565" w14:textId="77777777" w:rsidR="00531B46" w:rsidRPr="000E0C38" w:rsidRDefault="00531B46" w:rsidP="00432BEF">
            <w:pPr>
              <w:jc w:val="right"/>
              <w:rPr>
                <w:rFonts w:eastAsia="Times New Roman" w:cstheme="minorHAnsi"/>
                <w:b/>
                <w:sz w:val="18"/>
                <w:szCs w:val="20"/>
                <w:lang w:eastAsia="zh-CN"/>
              </w:rPr>
            </w:pPr>
            <w:r w:rsidRPr="000E0C38">
              <w:rPr>
                <w:rFonts w:eastAsia="Times New Roman" w:cstheme="minorHAnsi"/>
                <w:b/>
                <w:sz w:val="18"/>
                <w:szCs w:val="20"/>
                <w:lang w:eastAsia="zh-CN"/>
              </w:rPr>
              <w:t>2015</w:t>
            </w:r>
          </w:p>
        </w:tc>
      </w:tr>
      <w:tr w:rsidR="00277988" w:rsidRPr="000E0C38" w14:paraId="0243B80B" w14:textId="77777777" w:rsidTr="00277988">
        <w:trPr>
          <w:cnfStyle w:val="000000010000" w:firstRow="0" w:lastRow="0" w:firstColumn="0" w:lastColumn="0" w:oddVBand="0" w:evenVBand="0" w:oddHBand="0" w:evenHBand="1" w:firstRowFirstColumn="0" w:firstRowLastColumn="0" w:lastRowFirstColumn="0" w:lastRowLastColumn="0"/>
          <w:trHeight w:val="300"/>
        </w:trPr>
        <w:tc>
          <w:tcPr>
            <w:tcW w:w="3402" w:type="dxa"/>
            <w:noWrap/>
            <w:hideMark/>
          </w:tcPr>
          <w:p w14:paraId="065D396B"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Afghanistan</w:t>
            </w:r>
          </w:p>
        </w:tc>
        <w:tc>
          <w:tcPr>
            <w:tcW w:w="828" w:type="dxa"/>
            <w:noWrap/>
            <w:hideMark/>
          </w:tcPr>
          <w:p w14:paraId="41707A0A"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75.9</w:t>
            </w:r>
          </w:p>
        </w:tc>
        <w:tc>
          <w:tcPr>
            <w:tcW w:w="998" w:type="dxa"/>
            <w:gridSpan w:val="2"/>
            <w:noWrap/>
            <w:hideMark/>
          </w:tcPr>
          <w:p w14:paraId="1306A601"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382.4</w:t>
            </w:r>
          </w:p>
        </w:tc>
        <w:tc>
          <w:tcPr>
            <w:tcW w:w="998" w:type="dxa"/>
            <w:noWrap/>
            <w:hideMark/>
          </w:tcPr>
          <w:p w14:paraId="011B3C13"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0</w:t>
            </w:r>
          </w:p>
        </w:tc>
        <w:tc>
          <w:tcPr>
            <w:tcW w:w="998" w:type="dxa"/>
            <w:gridSpan w:val="2"/>
            <w:noWrap/>
            <w:hideMark/>
          </w:tcPr>
          <w:p w14:paraId="0CDC51DD"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noWrap/>
            <w:hideMark/>
          </w:tcPr>
          <w:p w14:paraId="7B3D3E29"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44</w:t>
            </w:r>
          </w:p>
        </w:tc>
        <w:tc>
          <w:tcPr>
            <w:tcW w:w="998" w:type="dxa"/>
            <w:noWrap/>
            <w:hideMark/>
          </w:tcPr>
          <w:p w14:paraId="77869D0B"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49</w:t>
            </w:r>
          </w:p>
        </w:tc>
      </w:tr>
      <w:tr w:rsidR="00277988" w:rsidRPr="000E0C38" w14:paraId="4C4B2208" w14:textId="77777777" w:rsidTr="00277988">
        <w:trPr>
          <w:cnfStyle w:val="000000100000" w:firstRow="0" w:lastRow="0" w:firstColumn="0" w:lastColumn="0" w:oddVBand="0" w:evenVBand="0" w:oddHBand="1" w:evenHBand="0" w:firstRowFirstColumn="0" w:firstRowLastColumn="0" w:lastRowFirstColumn="0" w:lastRowLastColumn="0"/>
          <w:trHeight w:val="300"/>
        </w:trPr>
        <w:tc>
          <w:tcPr>
            <w:tcW w:w="3402" w:type="dxa"/>
            <w:noWrap/>
            <w:hideMark/>
          </w:tcPr>
          <w:p w14:paraId="7AF83A03"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Bangladesh</w:t>
            </w:r>
          </w:p>
        </w:tc>
        <w:tc>
          <w:tcPr>
            <w:tcW w:w="828" w:type="dxa"/>
            <w:noWrap/>
            <w:hideMark/>
          </w:tcPr>
          <w:p w14:paraId="1FD671E4"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987.9</w:t>
            </w:r>
          </w:p>
        </w:tc>
        <w:tc>
          <w:tcPr>
            <w:tcW w:w="998" w:type="dxa"/>
            <w:gridSpan w:val="2"/>
            <w:noWrap/>
            <w:hideMark/>
          </w:tcPr>
          <w:p w14:paraId="00DBF87F"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1422.8</w:t>
            </w:r>
          </w:p>
        </w:tc>
        <w:tc>
          <w:tcPr>
            <w:tcW w:w="998" w:type="dxa"/>
            <w:noWrap/>
            <w:hideMark/>
          </w:tcPr>
          <w:p w14:paraId="11D8CA40"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gridSpan w:val="2"/>
            <w:noWrap/>
            <w:hideMark/>
          </w:tcPr>
          <w:p w14:paraId="44D3AFE0"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noWrap/>
            <w:hideMark/>
          </w:tcPr>
          <w:p w14:paraId="080EF351"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14</w:t>
            </w:r>
          </w:p>
        </w:tc>
        <w:tc>
          <w:tcPr>
            <w:tcW w:w="998" w:type="dxa"/>
            <w:noWrap/>
            <w:hideMark/>
          </w:tcPr>
          <w:p w14:paraId="4099186F"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13</w:t>
            </w:r>
          </w:p>
        </w:tc>
      </w:tr>
      <w:tr w:rsidR="00277988" w:rsidRPr="000E0C38" w14:paraId="4B68151E" w14:textId="77777777" w:rsidTr="00277988">
        <w:trPr>
          <w:cnfStyle w:val="000000010000" w:firstRow="0" w:lastRow="0" w:firstColumn="0" w:lastColumn="0" w:oddVBand="0" w:evenVBand="0" w:oddHBand="0" w:evenHBand="1" w:firstRowFirstColumn="0" w:firstRowLastColumn="0" w:lastRowFirstColumn="0" w:lastRowLastColumn="0"/>
          <w:trHeight w:val="300"/>
        </w:trPr>
        <w:tc>
          <w:tcPr>
            <w:tcW w:w="3402" w:type="dxa"/>
            <w:noWrap/>
            <w:hideMark/>
          </w:tcPr>
          <w:p w14:paraId="79656039"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Democratic Republic of the Congo</w:t>
            </w:r>
          </w:p>
        </w:tc>
        <w:tc>
          <w:tcPr>
            <w:tcW w:w="828" w:type="dxa"/>
            <w:noWrap/>
            <w:hideMark/>
          </w:tcPr>
          <w:p w14:paraId="41296A4F"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744.4</w:t>
            </w:r>
          </w:p>
        </w:tc>
        <w:tc>
          <w:tcPr>
            <w:tcW w:w="998" w:type="dxa"/>
            <w:gridSpan w:val="2"/>
            <w:noWrap/>
            <w:hideMark/>
          </w:tcPr>
          <w:p w14:paraId="6CE03F6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545.7</w:t>
            </w:r>
          </w:p>
        </w:tc>
        <w:tc>
          <w:tcPr>
            <w:tcW w:w="998" w:type="dxa"/>
            <w:noWrap/>
            <w:hideMark/>
          </w:tcPr>
          <w:p w14:paraId="71EE138F"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w:t>
            </w:r>
          </w:p>
        </w:tc>
        <w:tc>
          <w:tcPr>
            <w:tcW w:w="998" w:type="dxa"/>
            <w:gridSpan w:val="2"/>
            <w:noWrap/>
            <w:hideMark/>
          </w:tcPr>
          <w:p w14:paraId="55714291"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noWrap/>
            <w:hideMark/>
          </w:tcPr>
          <w:p w14:paraId="7513AAF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51</w:t>
            </w:r>
          </w:p>
        </w:tc>
        <w:tc>
          <w:tcPr>
            <w:tcW w:w="998" w:type="dxa"/>
            <w:noWrap/>
            <w:hideMark/>
          </w:tcPr>
          <w:p w14:paraId="0E937E7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52</w:t>
            </w:r>
          </w:p>
        </w:tc>
      </w:tr>
      <w:tr w:rsidR="00277988" w:rsidRPr="000E0C38" w14:paraId="03EEA1B5" w14:textId="77777777" w:rsidTr="00277988">
        <w:trPr>
          <w:cnfStyle w:val="000000100000" w:firstRow="0" w:lastRow="0" w:firstColumn="0" w:lastColumn="0" w:oddVBand="0" w:evenVBand="0" w:oddHBand="1" w:evenHBand="0" w:firstRowFirstColumn="0" w:firstRowLastColumn="0" w:lastRowFirstColumn="0" w:lastRowLastColumn="0"/>
          <w:trHeight w:val="300"/>
        </w:trPr>
        <w:tc>
          <w:tcPr>
            <w:tcW w:w="3402" w:type="dxa"/>
            <w:noWrap/>
            <w:hideMark/>
          </w:tcPr>
          <w:p w14:paraId="72FEF0F8"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Ethiopia</w:t>
            </w:r>
          </w:p>
        </w:tc>
        <w:tc>
          <w:tcPr>
            <w:tcW w:w="828" w:type="dxa"/>
            <w:noWrap/>
            <w:hideMark/>
          </w:tcPr>
          <w:p w14:paraId="396F4877"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611.4</w:t>
            </w:r>
          </w:p>
        </w:tc>
        <w:tc>
          <w:tcPr>
            <w:tcW w:w="998" w:type="dxa"/>
            <w:gridSpan w:val="2"/>
            <w:noWrap/>
            <w:hideMark/>
          </w:tcPr>
          <w:p w14:paraId="7D3BC622"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1072.9</w:t>
            </w:r>
          </w:p>
        </w:tc>
        <w:tc>
          <w:tcPr>
            <w:tcW w:w="998" w:type="dxa"/>
            <w:noWrap/>
            <w:hideMark/>
          </w:tcPr>
          <w:p w14:paraId="792CFC6F"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gridSpan w:val="2"/>
            <w:noWrap/>
            <w:hideMark/>
          </w:tcPr>
          <w:p w14:paraId="4DDD38B7"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noWrap/>
            <w:hideMark/>
          </w:tcPr>
          <w:p w14:paraId="3AD5B134"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47</w:t>
            </w:r>
          </w:p>
        </w:tc>
        <w:tc>
          <w:tcPr>
            <w:tcW w:w="998" w:type="dxa"/>
            <w:noWrap/>
            <w:hideMark/>
          </w:tcPr>
          <w:p w14:paraId="32FBE0DF"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49</w:t>
            </w:r>
          </w:p>
        </w:tc>
      </w:tr>
      <w:tr w:rsidR="00277988" w:rsidRPr="000E0C38" w14:paraId="412AF0EC" w14:textId="77777777" w:rsidTr="00277988">
        <w:trPr>
          <w:cnfStyle w:val="000000010000" w:firstRow="0" w:lastRow="0" w:firstColumn="0" w:lastColumn="0" w:oddVBand="0" w:evenVBand="0" w:oddHBand="0" w:evenHBand="1" w:firstRowFirstColumn="0" w:firstRowLastColumn="0" w:lastRowFirstColumn="0" w:lastRowLastColumn="0"/>
          <w:trHeight w:val="300"/>
        </w:trPr>
        <w:tc>
          <w:tcPr>
            <w:tcW w:w="3402" w:type="dxa"/>
            <w:noWrap/>
            <w:hideMark/>
          </w:tcPr>
          <w:p w14:paraId="74BE564C"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Ghana</w:t>
            </w:r>
          </w:p>
        </w:tc>
        <w:tc>
          <w:tcPr>
            <w:tcW w:w="828" w:type="dxa"/>
            <w:noWrap/>
            <w:hideMark/>
          </w:tcPr>
          <w:p w14:paraId="45018EA1"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191.6</w:t>
            </w:r>
          </w:p>
        </w:tc>
        <w:tc>
          <w:tcPr>
            <w:tcW w:w="998" w:type="dxa"/>
            <w:gridSpan w:val="2"/>
            <w:noWrap/>
            <w:hideMark/>
          </w:tcPr>
          <w:p w14:paraId="67C99B6A"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399.5</w:t>
            </w:r>
          </w:p>
        </w:tc>
        <w:tc>
          <w:tcPr>
            <w:tcW w:w="998" w:type="dxa"/>
            <w:noWrap/>
            <w:hideMark/>
          </w:tcPr>
          <w:p w14:paraId="3C5C250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gridSpan w:val="2"/>
            <w:noWrap/>
            <w:hideMark/>
          </w:tcPr>
          <w:p w14:paraId="36061AA5"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noWrap/>
            <w:hideMark/>
          </w:tcPr>
          <w:p w14:paraId="23390B41"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49</w:t>
            </w:r>
          </w:p>
        </w:tc>
        <w:tc>
          <w:tcPr>
            <w:tcW w:w="998" w:type="dxa"/>
            <w:noWrap/>
            <w:hideMark/>
          </w:tcPr>
          <w:p w14:paraId="5E7171E3"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46</w:t>
            </w:r>
          </w:p>
        </w:tc>
      </w:tr>
      <w:tr w:rsidR="00277988" w:rsidRPr="000E0C38" w14:paraId="722E4D34" w14:textId="77777777" w:rsidTr="00277988">
        <w:trPr>
          <w:cnfStyle w:val="000000100000" w:firstRow="0" w:lastRow="0" w:firstColumn="0" w:lastColumn="0" w:oddVBand="0" w:evenVBand="0" w:oddHBand="1" w:evenHBand="0" w:firstRowFirstColumn="0" w:firstRowLastColumn="0" w:lastRowFirstColumn="0" w:lastRowLastColumn="0"/>
          <w:trHeight w:val="300"/>
        </w:trPr>
        <w:tc>
          <w:tcPr>
            <w:tcW w:w="3402" w:type="dxa"/>
            <w:noWrap/>
            <w:hideMark/>
          </w:tcPr>
          <w:p w14:paraId="2769774F"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India</w:t>
            </w:r>
          </w:p>
        </w:tc>
        <w:tc>
          <w:tcPr>
            <w:tcW w:w="828" w:type="dxa"/>
            <w:noWrap/>
            <w:hideMark/>
          </w:tcPr>
          <w:p w14:paraId="1412E8EB"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6411.3</w:t>
            </w:r>
          </w:p>
        </w:tc>
        <w:tc>
          <w:tcPr>
            <w:tcW w:w="998" w:type="dxa"/>
            <w:gridSpan w:val="2"/>
            <w:noWrap/>
            <w:hideMark/>
          </w:tcPr>
          <w:p w14:paraId="347E4355"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5241</w:t>
            </w:r>
          </w:p>
        </w:tc>
        <w:tc>
          <w:tcPr>
            <w:tcW w:w="998" w:type="dxa"/>
            <w:noWrap/>
            <w:hideMark/>
          </w:tcPr>
          <w:p w14:paraId="6AE9E40D"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gridSpan w:val="2"/>
            <w:noWrap/>
            <w:hideMark/>
          </w:tcPr>
          <w:p w14:paraId="29DEAE33"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0</w:t>
            </w:r>
          </w:p>
        </w:tc>
        <w:tc>
          <w:tcPr>
            <w:tcW w:w="998" w:type="dxa"/>
            <w:noWrap/>
            <w:hideMark/>
          </w:tcPr>
          <w:p w14:paraId="5ECDAE85"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48</w:t>
            </w:r>
          </w:p>
        </w:tc>
        <w:tc>
          <w:tcPr>
            <w:tcW w:w="998" w:type="dxa"/>
            <w:noWrap/>
            <w:hideMark/>
          </w:tcPr>
          <w:p w14:paraId="13AD15E9"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49</w:t>
            </w:r>
          </w:p>
        </w:tc>
      </w:tr>
      <w:tr w:rsidR="00277988" w:rsidRPr="000E0C38" w14:paraId="17F22421" w14:textId="77777777" w:rsidTr="00277988">
        <w:trPr>
          <w:cnfStyle w:val="000000010000" w:firstRow="0" w:lastRow="0" w:firstColumn="0" w:lastColumn="0" w:oddVBand="0" w:evenVBand="0" w:oddHBand="0" w:evenHBand="1" w:firstRowFirstColumn="0" w:firstRowLastColumn="0" w:lastRowFirstColumn="0" w:lastRowLastColumn="0"/>
          <w:trHeight w:val="300"/>
        </w:trPr>
        <w:tc>
          <w:tcPr>
            <w:tcW w:w="3402" w:type="dxa"/>
            <w:noWrap/>
            <w:hideMark/>
          </w:tcPr>
          <w:p w14:paraId="7554C19E"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Kenya</w:t>
            </w:r>
          </w:p>
        </w:tc>
        <w:tc>
          <w:tcPr>
            <w:tcW w:w="828" w:type="dxa"/>
            <w:noWrap/>
            <w:hideMark/>
          </w:tcPr>
          <w:p w14:paraId="4F94C2CF"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699.1</w:t>
            </w:r>
          </w:p>
        </w:tc>
        <w:tc>
          <w:tcPr>
            <w:tcW w:w="998" w:type="dxa"/>
            <w:gridSpan w:val="2"/>
            <w:noWrap/>
            <w:hideMark/>
          </w:tcPr>
          <w:p w14:paraId="19025525"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1084.4</w:t>
            </w:r>
          </w:p>
        </w:tc>
        <w:tc>
          <w:tcPr>
            <w:tcW w:w="998" w:type="dxa"/>
            <w:noWrap/>
            <w:hideMark/>
          </w:tcPr>
          <w:p w14:paraId="09892D09"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w:t>
            </w:r>
          </w:p>
        </w:tc>
        <w:tc>
          <w:tcPr>
            <w:tcW w:w="998" w:type="dxa"/>
            <w:gridSpan w:val="2"/>
            <w:noWrap/>
            <w:hideMark/>
          </w:tcPr>
          <w:p w14:paraId="6E915569"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w:t>
            </w:r>
          </w:p>
        </w:tc>
        <w:tc>
          <w:tcPr>
            <w:tcW w:w="998" w:type="dxa"/>
            <w:noWrap/>
            <w:hideMark/>
          </w:tcPr>
          <w:p w14:paraId="58867E40"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50</w:t>
            </w:r>
          </w:p>
        </w:tc>
        <w:tc>
          <w:tcPr>
            <w:tcW w:w="998" w:type="dxa"/>
            <w:noWrap/>
            <w:hideMark/>
          </w:tcPr>
          <w:p w14:paraId="3AA646AD"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50</w:t>
            </w:r>
          </w:p>
        </w:tc>
      </w:tr>
      <w:tr w:rsidR="00277988" w:rsidRPr="000E0C38" w14:paraId="6B6BF4D0" w14:textId="77777777" w:rsidTr="00277988">
        <w:trPr>
          <w:cnfStyle w:val="000000100000" w:firstRow="0" w:lastRow="0" w:firstColumn="0" w:lastColumn="0" w:oddVBand="0" w:evenVBand="0" w:oddHBand="1" w:evenHBand="0" w:firstRowFirstColumn="0" w:firstRowLastColumn="0" w:lastRowFirstColumn="0" w:lastRowLastColumn="0"/>
          <w:trHeight w:val="300"/>
        </w:trPr>
        <w:tc>
          <w:tcPr>
            <w:tcW w:w="3402" w:type="dxa"/>
            <w:noWrap/>
            <w:hideMark/>
          </w:tcPr>
          <w:p w14:paraId="3F60D231"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Kyrgyzstan</w:t>
            </w:r>
          </w:p>
        </w:tc>
        <w:tc>
          <w:tcPr>
            <w:tcW w:w="828" w:type="dxa"/>
            <w:noWrap/>
            <w:hideMark/>
          </w:tcPr>
          <w:p w14:paraId="006C713B"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389.6</w:t>
            </w:r>
          </w:p>
        </w:tc>
        <w:tc>
          <w:tcPr>
            <w:tcW w:w="998" w:type="dxa"/>
            <w:gridSpan w:val="2"/>
            <w:noWrap/>
            <w:hideMark/>
          </w:tcPr>
          <w:p w14:paraId="5B40863A"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204.4</w:t>
            </w:r>
          </w:p>
        </w:tc>
        <w:tc>
          <w:tcPr>
            <w:tcW w:w="998" w:type="dxa"/>
            <w:noWrap/>
            <w:hideMark/>
          </w:tcPr>
          <w:p w14:paraId="556A35D6"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8</w:t>
            </w:r>
          </w:p>
        </w:tc>
        <w:tc>
          <w:tcPr>
            <w:tcW w:w="998" w:type="dxa"/>
            <w:gridSpan w:val="2"/>
            <w:noWrap/>
            <w:hideMark/>
          </w:tcPr>
          <w:p w14:paraId="66A04515"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w:t>
            </w:r>
          </w:p>
        </w:tc>
        <w:tc>
          <w:tcPr>
            <w:tcW w:w="998" w:type="dxa"/>
            <w:noWrap/>
            <w:hideMark/>
          </w:tcPr>
          <w:p w14:paraId="2D871783"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58</w:t>
            </w:r>
          </w:p>
        </w:tc>
        <w:tc>
          <w:tcPr>
            <w:tcW w:w="998" w:type="dxa"/>
            <w:noWrap/>
            <w:hideMark/>
          </w:tcPr>
          <w:p w14:paraId="329DD11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60</w:t>
            </w:r>
          </w:p>
        </w:tc>
      </w:tr>
      <w:tr w:rsidR="00277988" w:rsidRPr="000E0C38" w14:paraId="2B3B7325" w14:textId="77777777" w:rsidTr="00277988">
        <w:trPr>
          <w:cnfStyle w:val="000000010000" w:firstRow="0" w:lastRow="0" w:firstColumn="0" w:lastColumn="0" w:oddVBand="0" w:evenVBand="0" w:oddHBand="0" w:evenHBand="1" w:firstRowFirstColumn="0" w:firstRowLastColumn="0" w:lastRowFirstColumn="0" w:lastRowLastColumn="0"/>
          <w:trHeight w:val="300"/>
        </w:trPr>
        <w:tc>
          <w:tcPr>
            <w:tcW w:w="3402" w:type="dxa"/>
            <w:noWrap/>
            <w:hideMark/>
          </w:tcPr>
          <w:p w14:paraId="279BC101"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Liberia</w:t>
            </w:r>
          </w:p>
        </w:tc>
        <w:tc>
          <w:tcPr>
            <w:tcW w:w="828" w:type="dxa"/>
            <w:noWrap/>
            <w:hideMark/>
          </w:tcPr>
          <w:p w14:paraId="1D481D81"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151.9</w:t>
            </w:r>
          </w:p>
        </w:tc>
        <w:tc>
          <w:tcPr>
            <w:tcW w:w="998" w:type="dxa"/>
            <w:gridSpan w:val="2"/>
            <w:noWrap/>
            <w:hideMark/>
          </w:tcPr>
          <w:p w14:paraId="72A0A50B"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113.8</w:t>
            </w:r>
          </w:p>
        </w:tc>
        <w:tc>
          <w:tcPr>
            <w:tcW w:w="998" w:type="dxa"/>
            <w:noWrap/>
            <w:hideMark/>
          </w:tcPr>
          <w:p w14:paraId="17E88644"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w:t>
            </w:r>
          </w:p>
        </w:tc>
        <w:tc>
          <w:tcPr>
            <w:tcW w:w="998" w:type="dxa"/>
            <w:gridSpan w:val="2"/>
            <w:noWrap/>
            <w:hideMark/>
          </w:tcPr>
          <w:p w14:paraId="4E73AE80"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w:t>
            </w:r>
          </w:p>
        </w:tc>
        <w:tc>
          <w:tcPr>
            <w:tcW w:w="998" w:type="dxa"/>
            <w:noWrap/>
            <w:hideMark/>
          </w:tcPr>
          <w:p w14:paraId="46FA4F7F"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46</w:t>
            </w:r>
          </w:p>
        </w:tc>
        <w:tc>
          <w:tcPr>
            <w:tcW w:w="998" w:type="dxa"/>
            <w:noWrap/>
            <w:hideMark/>
          </w:tcPr>
          <w:p w14:paraId="0BC8A3AA"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43</w:t>
            </w:r>
          </w:p>
        </w:tc>
      </w:tr>
      <w:tr w:rsidR="00277988" w:rsidRPr="000E0C38" w14:paraId="480A0FED" w14:textId="77777777" w:rsidTr="00277988">
        <w:trPr>
          <w:cnfStyle w:val="000000100000" w:firstRow="0" w:lastRow="0" w:firstColumn="0" w:lastColumn="0" w:oddVBand="0" w:evenVBand="0" w:oddHBand="1" w:evenHBand="0" w:firstRowFirstColumn="0" w:firstRowLastColumn="0" w:lastRowFirstColumn="0" w:lastRowLastColumn="0"/>
          <w:trHeight w:val="300"/>
        </w:trPr>
        <w:tc>
          <w:tcPr>
            <w:tcW w:w="3402" w:type="dxa"/>
            <w:noWrap/>
            <w:hideMark/>
          </w:tcPr>
          <w:p w14:paraId="22BD29BC"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Malawi</w:t>
            </w:r>
          </w:p>
        </w:tc>
        <w:tc>
          <w:tcPr>
            <w:tcW w:w="828" w:type="dxa"/>
            <w:noWrap/>
            <w:hideMark/>
          </w:tcPr>
          <w:p w14:paraId="4DF6DC3A"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232.6</w:t>
            </w:r>
          </w:p>
        </w:tc>
        <w:tc>
          <w:tcPr>
            <w:tcW w:w="998" w:type="dxa"/>
            <w:gridSpan w:val="2"/>
            <w:noWrap/>
            <w:hideMark/>
          </w:tcPr>
          <w:p w14:paraId="126B6920"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215.2</w:t>
            </w:r>
          </w:p>
        </w:tc>
        <w:tc>
          <w:tcPr>
            <w:tcW w:w="998" w:type="dxa"/>
            <w:noWrap/>
            <w:hideMark/>
          </w:tcPr>
          <w:p w14:paraId="3DACB21D"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w:t>
            </w:r>
          </w:p>
        </w:tc>
        <w:tc>
          <w:tcPr>
            <w:tcW w:w="998" w:type="dxa"/>
            <w:gridSpan w:val="2"/>
            <w:noWrap/>
            <w:hideMark/>
          </w:tcPr>
          <w:p w14:paraId="2539D2EF"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noWrap/>
            <w:hideMark/>
          </w:tcPr>
          <w:p w14:paraId="365DF0D8"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52</w:t>
            </w:r>
          </w:p>
        </w:tc>
        <w:tc>
          <w:tcPr>
            <w:tcW w:w="998" w:type="dxa"/>
            <w:noWrap/>
            <w:hideMark/>
          </w:tcPr>
          <w:p w14:paraId="4CED5606"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52</w:t>
            </w:r>
          </w:p>
        </w:tc>
      </w:tr>
      <w:tr w:rsidR="00277988" w:rsidRPr="000E0C38" w14:paraId="541F4740" w14:textId="77777777" w:rsidTr="00277988">
        <w:trPr>
          <w:cnfStyle w:val="000000010000" w:firstRow="0" w:lastRow="0" w:firstColumn="0" w:lastColumn="0" w:oddVBand="0" w:evenVBand="0" w:oddHBand="0" w:evenHBand="1" w:firstRowFirstColumn="0" w:firstRowLastColumn="0" w:lastRowFirstColumn="0" w:lastRowLastColumn="0"/>
          <w:trHeight w:val="300"/>
        </w:trPr>
        <w:tc>
          <w:tcPr>
            <w:tcW w:w="3402" w:type="dxa"/>
            <w:noWrap/>
            <w:hideMark/>
          </w:tcPr>
          <w:p w14:paraId="4511D894"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Mozambique</w:t>
            </w:r>
          </w:p>
        </w:tc>
        <w:tc>
          <w:tcPr>
            <w:tcW w:w="828" w:type="dxa"/>
            <w:noWrap/>
            <w:hideMark/>
          </w:tcPr>
          <w:p w14:paraId="58AE8BAB"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195.7</w:t>
            </w:r>
          </w:p>
        </w:tc>
        <w:tc>
          <w:tcPr>
            <w:tcW w:w="998" w:type="dxa"/>
            <w:gridSpan w:val="2"/>
            <w:noWrap/>
            <w:hideMark/>
          </w:tcPr>
          <w:p w14:paraId="3B30FA29"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222.9</w:t>
            </w:r>
          </w:p>
        </w:tc>
        <w:tc>
          <w:tcPr>
            <w:tcW w:w="998" w:type="dxa"/>
            <w:noWrap/>
            <w:hideMark/>
          </w:tcPr>
          <w:p w14:paraId="60F9C4F8"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gridSpan w:val="2"/>
            <w:noWrap/>
            <w:hideMark/>
          </w:tcPr>
          <w:p w14:paraId="69064245"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noWrap/>
            <w:hideMark/>
          </w:tcPr>
          <w:p w14:paraId="30294BA6"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47</w:t>
            </w:r>
          </w:p>
        </w:tc>
        <w:tc>
          <w:tcPr>
            <w:tcW w:w="998" w:type="dxa"/>
            <w:noWrap/>
            <w:hideMark/>
          </w:tcPr>
          <w:p w14:paraId="3B47FF70"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52</w:t>
            </w:r>
          </w:p>
        </w:tc>
      </w:tr>
      <w:tr w:rsidR="00277988" w:rsidRPr="000E0C38" w14:paraId="6DA70BAD" w14:textId="77777777" w:rsidTr="00277988">
        <w:trPr>
          <w:cnfStyle w:val="000000100000" w:firstRow="0" w:lastRow="0" w:firstColumn="0" w:lastColumn="0" w:oddVBand="0" w:evenVBand="0" w:oddHBand="1" w:evenHBand="0" w:firstRowFirstColumn="0" w:firstRowLastColumn="0" w:lastRowFirstColumn="0" w:lastRowLastColumn="0"/>
          <w:trHeight w:val="300"/>
        </w:trPr>
        <w:tc>
          <w:tcPr>
            <w:tcW w:w="3402" w:type="dxa"/>
            <w:noWrap/>
            <w:hideMark/>
          </w:tcPr>
          <w:p w14:paraId="4EFD3ABD"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Burma</w:t>
            </w:r>
          </w:p>
        </w:tc>
        <w:tc>
          <w:tcPr>
            <w:tcW w:w="828" w:type="dxa"/>
            <w:noWrap/>
            <w:hideMark/>
          </w:tcPr>
          <w:p w14:paraId="63C3525A"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98</w:t>
            </w:r>
          </w:p>
        </w:tc>
        <w:tc>
          <w:tcPr>
            <w:tcW w:w="998" w:type="dxa"/>
            <w:gridSpan w:val="2"/>
            <w:noWrap/>
            <w:hideMark/>
          </w:tcPr>
          <w:p w14:paraId="573B43E6"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73.3</w:t>
            </w:r>
          </w:p>
        </w:tc>
        <w:tc>
          <w:tcPr>
            <w:tcW w:w="998" w:type="dxa"/>
            <w:noWrap/>
            <w:hideMark/>
          </w:tcPr>
          <w:p w14:paraId="17A8BC67"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0</w:t>
            </w:r>
          </w:p>
        </w:tc>
        <w:tc>
          <w:tcPr>
            <w:tcW w:w="998" w:type="dxa"/>
            <w:gridSpan w:val="2"/>
            <w:noWrap/>
            <w:hideMark/>
          </w:tcPr>
          <w:p w14:paraId="3F5079D5"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0</w:t>
            </w:r>
          </w:p>
        </w:tc>
        <w:tc>
          <w:tcPr>
            <w:tcW w:w="998" w:type="dxa"/>
            <w:noWrap/>
            <w:hideMark/>
          </w:tcPr>
          <w:p w14:paraId="0D5EC5F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47</w:t>
            </w:r>
          </w:p>
        </w:tc>
        <w:tc>
          <w:tcPr>
            <w:tcW w:w="998" w:type="dxa"/>
            <w:noWrap/>
            <w:hideMark/>
          </w:tcPr>
          <w:p w14:paraId="07DE13B7"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45</w:t>
            </w:r>
          </w:p>
        </w:tc>
      </w:tr>
      <w:tr w:rsidR="00277988" w:rsidRPr="000E0C38" w14:paraId="655F7A20" w14:textId="77777777" w:rsidTr="00277988">
        <w:trPr>
          <w:cnfStyle w:val="000000010000" w:firstRow="0" w:lastRow="0" w:firstColumn="0" w:lastColumn="0" w:oddVBand="0" w:evenVBand="0" w:oddHBand="0" w:evenHBand="1" w:firstRowFirstColumn="0" w:firstRowLastColumn="0" w:lastRowFirstColumn="0" w:lastRowLastColumn="0"/>
          <w:trHeight w:val="300"/>
        </w:trPr>
        <w:tc>
          <w:tcPr>
            <w:tcW w:w="3402" w:type="dxa"/>
            <w:noWrap/>
            <w:hideMark/>
          </w:tcPr>
          <w:p w14:paraId="3C77CE87"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Nepal</w:t>
            </w:r>
          </w:p>
        </w:tc>
        <w:tc>
          <w:tcPr>
            <w:tcW w:w="828" w:type="dxa"/>
            <w:noWrap/>
            <w:hideMark/>
          </w:tcPr>
          <w:p w14:paraId="5B3AF36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717.9</w:t>
            </w:r>
          </w:p>
        </w:tc>
        <w:tc>
          <w:tcPr>
            <w:tcW w:w="998" w:type="dxa"/>
            <w:gridSpan w:val="2"/>
            <w:noWrap/>
            <w:hideMark/>
          </w:tcPr>
          <w:p w14:paraId="7F996307"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518.3</w:t>
            </w:r>
          </w:p>
        </w:tc>
        <w:tc>
          <w:tcPr>
            <w:tcW w:w="998" w:type="dxa"/>
            <w:noWrap/>
            <w:hideMark/>
          </w:tcPr>
          <w:p w14:paraId="3A78F9DB"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w:t>
            </w:r>
          </w:p>
        </w:tc>
        <w:tc>
          <w:tcPr>
            <w:tcW w:w="998" w:type="dxa"/>
            <w:gridSpan w:val="2"/>
            <w:noWrap/>
            <w:hideMark/>
          </w:tcPr>
          <w:p w14:paraId="4E161934"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w:t>
            </w:r>
          </w:p>
        </w:tc>
        <w:tc>
          <w:tcPr>
            <w:tcW w:w="998" w:type="dxa"/>
            <w:noWrap/>
            <w:hideMark/>
          </w:tcPr>
          <w:p w14:paraId="40D1C724"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66</w:t>
            </w:r>
          </w:p>
        </w:tc>
        <w:tc>
          <w:tcPr>
            <w:tcW w:w="998" w:type="dxa"/>
            <w:noWrap/>
            <w:hideMark/>
          </w:tcPr>
          <w:p w14:paraId="4AD19575"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69</w:t>
            </w:r>
          </w:p>
        </w:tc>
      </w:tr>
      <w:tr w:rsidR="00277988" w:rsidRPr="000E0C38" w14:paraId="512A9F86" w14:textId="77777777" w:rsidTr="00277988">
        <w:trPr>
          <w:cnfStyle w:val="000000100000" w:firstRow="0" w:lastRow="0" w:firstColumn="0" w:lastColumn="0" w:oddVBand="0" w:evenVBand="0" w:oddHBand="1" w:evenHBand="0" w:firstRowFirstColumn="0" w:firstRowLastColumn="0" w:lastRowFirstColumn="0" w:lastRowLastColumn="0"/>
          <w:trHeight w:val="300"/>
        </w:trPr>
        <w:tc>
          <w:tcPr>
            <w:tcW w:w="3402" w:type="dxa"/>
            <w:noWrap/>
            <w:hideMark/>
          </w:tcPr>
          <w:p w14:paraId="1ADD088D"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Nigeria</w:t>
            </w:r>
          </w:p>
        </w:tc>
        <w:tc>
          <w:tcPr>
            <w:tcW w:w="828" w:type="dxa"/>
            <w:noWrap/>
            <w:hideMark/>
          </w:tcPr>
          <w:p w14:paraId="2C9DC46B"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487.9</w:t>
            </w:r>
          </w:p>
        </w:tc>
        <w:tc>
          <w:tcPr>
            <w:tcW w:w="998" w:type="dxa"/>
            <w:gridSpan w:val="2"/>
            <w:noWrap/>
            <w:hideMark/>
          </w:tcPr>
          <w:p w14:paraId="3B850361"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1199.1</w:t>
            </w:r>
          </w:p>
        </w:tc>
        <w:tc>
          <w:tcPr>
            <w:tcW w:w="998" w:type="dxa"/>
            <w:noWrap/>
            <w:hideMark/>
          </w:tcPr>
          <w:p w14:paraId="78DF7727"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0</w:t>
            </w:r>
          </w:p>
        </w:tc>
        <w:tc>
          <w:tcPr>
            <w:tcW w:w="998" w:type="dxa"/>
            <w:gridSpan w:val="2"/>
            <w:noWrap/>
            <w:hideMark/>
          </w:tcPr>
          <w:p w14:paraId="2FEB07F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noWrap/>
            <w:hideMark/>
          </w:tcPr>
          <w:p w14:paraId="669E08EA"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45</w:t>
            </w:r>
          </w:p>
        </w:tc>
        <w:tc>
          <w:tcPr>
            <w:tcW w:w="998" w:type="dxa"/>
            <w:noWrap/>
            <w:hideMark/>
          </w:tcPr>
          <w:p w14:paraId="57C8E5F4"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45</w:t>
            </w:r>
          </w:p>
        </w:tc>
      </w:tr>
      <w:tr w:rsidR="00277988" w:rsidRPr="000E0C38" w14:paraId="4BC810D8" w14:textId="77777777" w:rsidTr="00277988">
        <w:trPr>
          <w:cnfStyle w:val="000000010000" w:firstRow="0" w:lastRow="0" w:firstColumn="0" w:lastColumn="0" w:oddVBand="0" w:evenVBand="0" w:oddHBand="0" w:evenHBand="1" w:firstRowFirstColumn="0" w:firstRowLastColumn="0" w:lastRowFirstColumn="0" w:lastRowLastColumn="0"/>
          <w:trHeight w:val="300"/>
        </w:trPr>
        <w:tc>
          <w:tcPr>
            <w:tcW w:w="3402" w:type="dxa"/>
            <w:noWrap/>
            <w:hideMark/>
          </w:tcPr>
          <w:p w14:paraId="6B36C85F"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Pakistan</w:t>
            </w:r>
          </w:p>
        </w:tc>
        <w:tc>
          <w:tcPr>
            <w:tcW w:w="828" w:type="dxa"/>
            <w:noWrap/>
            <w:hideMark/>
          </w:tcPr>
          <w:p w14:paraId="2FB1C58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4181.9</w:t>
            </w:r>
          </w:p>
        </w:tc>
        <w:tc>
          <w:tcPr>
            <w:tcW w:w="998" w:type="dxa"/>
            <w:gridSpan w:val="2"/>
            <w:noWrap/>
            <w:hideMark/>
          </w:tcPr>
          <w:p w14:paraId="51F44807"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3629</w:t>
            </w:r>
          </w:p>
        </w:tc>
        <w:tc>
          <w:tcPr>
            <w:tcW w:w="998" w:type="dxa"/>
            <w:noWrap/>
            <w:hideMark/>
          </w:tcPr>
          <w:p w14:paraId="237C08EA"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w:t>
            </w:r>
          </w:p>
        </w:tc>
        <w:tc>
          <w:tcPr>
            <w:tcW w:w="998" w:type="dxa"/>
            <w:gridSpan w:val="2"/>
            <w:noWrap/>
            <w:hideMark/>
          </w:tcPr>
          <w:p w14:paraId="686EC0B6"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w:t>
            </w:r>
          </w:p>
        </w:tc>
        <w:tc>
          <w:tcPr>
            <w:tcW w:w="998" w:type="dxa"/>
            <w:noWrap/>
            <w:hideMark/>
          </w:tcPr>
          <w:p w14:paraId="7BE3FFC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46</w:t>
            </w:r>
          </w:p>
        </w:tc>
        <w:tc>
          <w:tcPr>
            <w:tcW w:w="998" w:type="dxa"/>
            <w:noWrap/>
            <w:hideMark/>
          </w:tcPr>
          <w:p w14:paraId="74D934B6"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49</w:t>
            </w:r>
          </w:p>
        </w:tc>
      </w:tr>
      <w:tr w:rsidR="00277988" w:rsidRPr="000E0C38" w14:paraId="0ED8CB67" w14:textId="77777777" w:rsidTr="00277988">
        <w:trPr>
          <w:cnfStyle w:val="000000100000" w:firstRow="0" w:lastRow="0" w:firstColumn="0" w:lastColumn="0" w:oddVBand="0" w:evenVBand="0" w:oddHBand="1" w:evenHBand="0" w:firstRowFirstColumn="0" w:firstRowLastColumn="0" w:lastRowFirstColumn="0" w:lastRowLastColumn="0"/>
          <w:trHeight w:val="300"/>
        </w:trPr>
        <w:tc>
          <w:tcPr>
            <w:tcW w:w="3402" w:type="dxa"/>
            <w:noWrap/>
            <w:hideMark/>
          </w:tcPr>
          <w:p w14:paraId="553B0981"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Rwanda</w:t>
            </w:r>
          </w:p>
        </w:tc>
        <w:tc>
          <w:tcPr>
            <w:tcW w:w="828" w:type="dxa"/>
            <w:noWrap/>
            <w:hideMark/>
          </w:tcPr>
          <w:p w14:paraId="54E88E4D"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347.1</w:t>
            </w:r>
          </w:p>
        </w:tc>
        <w:tc>
          <w:tcPr>
            <w:tcW w:w="998" w:type="dxa"/>
            <w:gridSpan w:val="2"/>
            <w:noWrap/>
            <w:hideMark/>
          </w:tcPr>
          <w:p w14:paraId="78A80426"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441.5</w:t>
            </w:r>
          </w:p>
        </w:tc>
        <w:tc>
          <w:tcPr>
            <w:tcW w:w="998" w:type="dxa"/>
            <w:noWrap/>
            <w:hideMark/>
          </w:tcPr>
          <w:p w14:paraId="60B42063"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w:t>
            </w:r>
          </w:p>
        </w:tc>
        <w:tc>
          <w:tcPr>
            <w:tcW w:w="998" w:type="dxa"/>
            <w:gridSpan w:val="2"/>
            <w:noWrap/>
            <w:hideMark/>
          </w:tcPr>
          <w:p w14:paraId="794B5618"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w:t>
            </w:r>
          </w:p>
        </w:tc>
        <w:tc>
          <w:tcPr>
            <w:tcW w:w="998" w:type="dxa"/>
            <w:noWrap/>
            <w:hideMark/>
          </w:tcPr>
          <w:p w14:paraId="5A32D8A5"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49</w:t>
            </w:r>
          </w:p>
        </w:tc>
        <w:tc>
          <w:tcPr>
            <w:tcW w:w="998" w:type="dxa"/>
            <w:noWrap/>
            <w:hideMark/>
          </w:tcPr>
          <w:p w14:paraId="6BAE0A94"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50</w:t>
            </w:r>
          </w:p>
        </w:tc>
      </w:tr>
      <w:tr w:rsidR="00277988" w:rsidRPr="000E0C38" w14:paraId="51192750" w14:textId="77777777" w:rsidTr="00277988">
        <w:trPr>
          <w:cnfStyle w:val="000000010000" w:firstRow="0" w:lastRow="0" w:firstColumn="0" w:lastColumn="0" w:oddVBand="0" w:evenVBand="0" w:oddHBand="0" w:evenHBand="1" w:firstRowFirstColumn="0" w:firstRowLastColumn="0" w:lastRowFirstColumn="0" w:lastRowLastColumn="0"/>
          <w:trHeight w:val="300"/>
        </w:trPr>
        <w:tc>
          <w:tcPr>
            <w:tcW w:w="3402" w:type="dxa"/>
            <w:noWrap/>
            <w:hideMark/>
          </w:tcPr>
          <w:p w14:paraId="2DFFD6CE"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Sierra Leone</w:t>
            </w:r>
          </w:p>
        </w:tc>
        <w:tc>
          <w:tcPr>
            <w:tcW w:w="828" w:type="dxa"/>
            <w:noWrap/>
            <w:hideMark/>
          </w:tcPr>
          <w:p w14:paraId="4AE07301"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98.2</w:t>
            </w:r>
          </w:p>
        </w:tc>
        <w:tc>
          <w:tcPr>
            <w:tcW w:w="998" w:type="dxa"/>
            <w:gridSpan w:val="2"/>
            <w:noWrap/>
            <w:hideMark/>
          </w:tcPr>
          <w:p w14:paraId="1FA8C2D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91.2</w:t>
            </w:r>
          </w:p>
        </w:tc>
        <w:tc>
          <w:tcPr>
            <w:tcW w:w="998" w:type="dxa"/>
            <w:noWrap/>
            <w:hideMark/>
          </w:tcPr>
          <w:p w14:paraId="28482F11"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w:t>
            </w:r>
          </w:p>
        </w:tc>
        <w:tc>
          <w:tcPr>
            <w:tcW w:w="998" w:type="dxa"/>
            <w:gridSpan w:val="2"/>
            <w:noWrap/>
            <w:hideMark/>
          </w:tcPr>
          <w:p w14:paraId="74425B0A"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noWrap/>
            <w:hideMark/>
          </w:tcPr>
          <w:p w14:paraId="30AB93DB"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44</w:t>
            </w:r>
          </w:p>
        </w:tc>
        <w:tc>
          <w:tcPr>
            <w:tcW w:w="998" w:type="dxa"/>
            <w:noWrap/>
            <w:hideMark/>
          </w:tcPr>
          <w:p w14:paraId="415410E6"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45</w:t>
            </w:r>
          </w:p>
        </w:tc>
      </w:tr>
      <w:tr w:rsidR="00277988" w:rsidRPr="000E0C38" w14:paraId="056EBE58" w14:textId="77777777" w:rsidTr="00277988">
        <w:trPr>
          <w:cnfStyle w:val="000000100000" w:firstRow="0" w:lastRow="0" w:firstColumn="0" w:lastColumn="0" w:oddVBand="0" w:evenVBand="0" w:oddHBand="1" w:evenHBand="0" w:firstRowFirstColumn="0" w:firstRowLastColumn="0" w:lastRowFirstColumn="0" w:lastRowLastColumn="0"/>
          <w:trHeight w:val="300"/>
        </w:trPr>
        <w:tc>
          <w:tcPr>
            <w:tcW w:w="3402" w:type="dxa"/>
            <w:noWrap/>
            <w:hideMark/>
          </w:tcPr>
          <w:p w14:paraId="4D060725"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Somalia</w:t>
            </w:r>
          </w:p>
        </w:tc>
        <w:tc>
          <w:tcPr>
            <w:tcW w:w="828" w:type="dxa"/>
            <w:noWrap/>
            <w:hideMark/>
          </w:tcPr>
          <w:p w14:paraId="7B4D0389"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20.1</w:t>
            </w:r>
          </w:p>
        </w:tc>
        <w:tc>
          <w:tcPr>
            <w:tcW w:w="998" w:type="dxa"/>
            <w:gridSpan w:val="2"/>
            <w:noWrap/>
            <w:hideMark/>
          </w:tcPr>
          <w:p w14:paraId="548D8A97"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25.3</w:t>
            </w:r>
          </w:p>
        </w:tc>
        <w:tc>
          <w:tcPr>
            <w:tcW w:w="998" w:type="dxa"/>
            <w:noWrap/>
            <w:hideMark/>
          </w:tcPr>
          <w:p w14:paraId="550AAB61"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0</w:t>
            </w:r>
          </w:p>
        </w:tc>
        <w:tc>
          <w:tcPr>
            <w:tcW w:w="998" w:type="dxa"/>
            <w:gridSpan w:val="2"/>
            <w:noWrap/>
            <w:hideMark/>
          </w:tcPr>
          <w:p w14:paraId="155D90FE"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0</w:t>
            </w:r>
          </w:p>
        </w:tc>
        <w:tc>
          <w:tcPr>
            <w:tcW w:w="998" w:type="dxa"/>
            <w:noWrap/>
            <w:hideMark/>
          </w:tcPr>
          <w:p w14:paraId="41901134"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47</w:t>
            </w:r>
          </w:p>
        </w:tc>
        <w:tc>
          <w:tcPr>
            <w:tcW w:w="998" w:type="dxa"/>
            <w:noWrap/>
            <w:hideMark/>
          </w:tcPr>
          <w:p w14:paraId="4EF0C2D1"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46</w:t>
            </w:r>
          </w:p>
        </w:tc>
      </w:tr>
      <w:tr w:rsidR="00277988" w:rsidRPr="000E0C38" w14:paraId="4BF52295" w14:textId="77777777" w:rsidTr="00277988">
        <w:trPr>
          <w:cnfStyle w:val="000000010000" w:firstRow="0" w:lastRow="0" w:firstColumn="0" w:lastColumn="0" w:oddVBand="0" w:evenVBand="0" w:oddHBand="0" w:evenHBand="1" w:firstRowFirstColumn="0" w:firstRowLastColumn="0" w:lastRowFirstColumn="0" w:lastRowLastColumn="0"/>
          <w:trHeight w:val="300"/>
        </w:trPr>
        <w:tc>
          <w:tcPr>
            <w:tcW w:w="3402" w:type="dxa"/>
            <w:noWrap/>
            <w:hideMark/>
          </w:tcPr>
          <w:p w14:paraId="0488F776"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South Africa</w:t>
            </w:r>
          </w:p>
        </w:tc>
        <w:tc>
          <w:tcPr>
            <w:tcW w:w="828" w:type="dxa"/>
            <w:noWrap/>
            <w:hideMark/>
          </w:tcPr>
          <w:p w14:paraId="158A13E8"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1001.8</w:t>
            </w:r>
          </w:p>
        </w:tc>
        <w:tc>
          <w:tcPr>
            <w:tcW w:w="998" w:type="dxa"/>
            <w:gridSpan w:val="2"/>
            <w:noWrap/>
            <w:hideMark/>
          </w:tcPr>
          <w:p w14:paraId="6D2A5AEF"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3142.5</w:t>
            </w:r>
          </w:p>
        </w:tc>
        <w:tc>
          <w:tcPr>
            <w:tcW w:w="998" w:type="dxa"/>
            <w:noWrap/>
            <w:hideMark/>
          </w:tcPr>
          <w:p w14:paraId="0CEF70BF"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w:t>
            </w:r>
          </w:p>
        </w:tc>
        <w:tc>
          <w:tcPr>
            <w:tcW w:w="998" w:type="dxa"/>
            <w:gridSpan w:val="2"/>
            <w:noWrap/>
            <w:hideMark/>
          </w:tcPr>
          <w:p w14:paraId="58C514D8"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6</w:t>
            </w:r>
          </w:p>
        </w:tc>
        <w:tc>
          <w:tcPr>
            <w:tcW w:w="998" w:type="dxa"/>
            <w:noWrap/>
            <w:hideMark/>
          </w:tcPr>
          <w:p w14:paraId="1BBD8AE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40</w:t>
            </w:r>
          </w:p>
        </w:tc>
        <w:tc>
          <w:tcPr>
            <w:tcW w:w="998" w:type="dxa"/>
            <w:noWrap/>
            <w:hideMark/>
          </w:tcPr>
          <w:p w14:paraId="51873B27"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40</w:t>
            </w:r>
          </w:p>
        </w:tc>
      </w:tr>
      <w:tr w:rsidR="00277988" w:rsidRPr="000E0C38" w14:paraId="3E5F1070" w14:textId="77777777" w:rsidTr="00277988">
        <w:trPr>
          <w:cnfStyle w:val="000000100000" w:firstRow="0" w:lastRow="0" w:firstColumn="0" w:lastColumn="0" w:oddVBand="0" w:evenVBand="0" w:oddHBand="1" w:evenHBand="0" w:firstRowFirstColumn="0" w:firstRowLastColumn="0" w:lastRowFirstColumn="0" w:lastRowLastColumn="0"/>
          <w:trHeight w:val="300"/>
        </w:trPr>
        <w:tc>
          <w:tcPr>
            <w:tcW w:w="3402" w:type="dxa"/>
            <w:noWrap/>
            <w:hideMark/>
          </w:tcPr>
          <w:p w14:paraId="163C78AF"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South Sudan</w:t>
            </w:r>
          </w:p>
        </w:tc>
        <w:tc>
          <w:tcPr>
            <w:tcW w:w="828" w:type="dxa"/>
            <w:noWrap/>
            <w:hideMark/>
          </w:tcPr>
          <w:p w14:paraId="28EEA126" w14:textId="77777777" w:rsidR="00531B46" w:rsidRPr="000E0C38" w:rsidRDefault="00531B46" w:rsidP="00432BEF">
            <w:pPr>
              <w:rPr>
                <w:rFonts w:eastAsia="Times New Roman" w:cstheme="minorHAnsi"/>
                <w:sz w:val="20"/>
                <w:szCs w:val="20"/>
                <w:lang w:eastAsia="zh-CN"/>
              </w:rPr>
            </w:pPr>
            <w:r w:rsidRPr="000E0C38">
              <w:rPr>
                <w:rFonts w:eastAsia="Times New Roman" w:cstheme="minorHAnsi"/>
                <w:sz w:val="20"/>
                <w:szCs w:val="20"/>
                <w:lang w:eastAsia="zh-CN"/>
              </w:rPr>
              <w:t>..</w:t>
            </w:r>
          </w:p>
        </w:tc>
        <w:tc>
          <w:tcPr>
            <w:tcW w:w="998" w:type="dxa"/>
            <w:gridSpan w:val="2"/>
            <w:noWrap/>
            <w:hideMark/>
          </w:tcPr>
          <w:p w14:paraId="65A904E5"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824.1</w:t>
            </w:r>
          </w:p>
        </w:tc>
        <w:tc>
          <w:tcPr>
            <w:tcW w:w="998" w:type="dxa"/>
            <w:noWrap/>
            <w:hideMark/>
          </w:tcPr>
          <w:p w14:paraId="202DBA15" w14:textId="77777777" w:rsidR="00531B46" w:rsidRPr="000E0C38" w:rsidRDefault="00531B46" w:rsidP="00432BEF">
            <w:pPr>
              <w:rPr>
                <w:rFonts w:eastAsia="Times New Roman" w:cstheme="minorHAnsi"/>
                <w:sz w:val="20"/>
                <w:szCs w:val="20"/>
                <w:lang w:eastAsia="zh-CN"/>
              </w:rPr>
            </w:pPr>
            <w:r w:rsidRPr="000E0C38">
              <w:rPr>
                <w:rFonts w:eastAsia="Times New Roman" w:cstheme="minorHAnsi"/>
                <w:sz w:val="20"/>
                <w:szCs w:val="20"/>
                <w:lang w:eastAsia="zh-CN"/>
              </w:rPr>
              <w:t>..</w:t>
            </w:r>
          </w:p>
        </w:tc>
        <w:tc>
          <w:tcPr>
            <w:tcW w:w="998" w:type="dxa"/>
            <w:gridSpan w:val="2"/>
            <w:noWrap/>
            <w:hideMark/>
          </w:tcPr>
          <w:p w14:paraId="154878E5"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7</w:t>
            </w:r>
          </w:p>
        </w:tc>
        <w:tc>
          <w:tcPr>
            <w:tcW w:w="998" w:type="dxa"/>
            <w:noWrap/>
            <w:hideMark/>
          </w:tcPr>
          <w:p w14:paraId="1852A4B0" w14:textId="77777777" w:rsidR="00531B46" w:rsidRPr="000E0C38" w:rsidRDefault="00531B46" w:rsidP="00432BEF">
            <w:pPr>
              <w:rPr>
                <w:rFonts w:eastAsia="Times New Roman" w:cstheme="minorHAnsi"/>
                <w:sz w:val="20"/>
                <w:szCs w:val="20"/>
                <w:lang w:eastAsia="zh-CN"/>
              </w:rPr>
            </w:pPr>
            <w:r w:rsidRPr="000E0C38">
              <w:rPr>
                <w:rFonts w:eastAsia="Times New Roman" w:cstheme="minorHAnsi"/>
                <w:sz w:val="20"/>
                <w:szCs w:val="20"/>
                <w:lang w:eastAsia="zh-CN"/>
              </w:rPr>
              <w:t>..</w:t>
            </w:r>
          </w:p>
        </w:tc>
        <w:tc>
          <w:tcPr>
            <w:tcW w:w="998" w:type="dxa"/>
            <w:noWrap/>
            <w:hideMark/>
          </w:tcPr>
          <w:p w14:paraId="3584AFF5"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49</w:t>
            </w:r>
          </w:p>
        </w:tc>
      </w:tr>
      <w:tr w:rsidR="00277988" w:rsidRPr="000E0C38" w14:paraId="6CDDC8DE" w14:textId="77777777" w:rsidTr="00277988">
        <w:trPr>
          <w:cnfStyle w:val="000000010000" w:firstRow="0" w:lastRow="0" w:firstColumn="0" w:lastColumn="0" w:oddVBand="0" w:evenVBand="0" w:oddHBand="0" w:evenHBand="1" w:firstRowFirstColumn="0" w:firstRowLastColumn="0" w:lastRowFirstColumn="0" w:lastRowLastColumn="0"/>
          <w:trHeight w:val="300"/>
        </w:trPr>
        <w:tc>
          <w:tcPr>
            <w:tcW w:w="3402" w:type="dxa"/>
            <w:noWrap/>
            <w:hideMark/>
          </w:tcPr>
          <w:p w14:paraId="600668A2"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West Bank and Gaza Strip</w:t>
            </w:r>
          </w:p>
        </w:tc>
        <w:tc>
          <w:tcPr>
            <w:tcW w:w="828" w:type="dxa"/>
            <w:noWrap/>
            <w:hideMark/>
          </w:tcPr>
          <w:p w14:paraId="70E907C8"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275.2</w:t>
            </w:r>
          </w:p>
        </w:tc>
        <w:tc>
          <w:tcPr>
            <w:tcW w:w="998" w:type="dxa"/>
            <w:gridSpan w:val="2"/>
            <w:noWrap/>
            <w:hideMark/>
          </w:tcPr>
          <w:p w14:paraId="36DC8A4E"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255.5</w:t>
            </w:r>
          </w:p>
        </w:tc>
        <w:tc>
          <w:tcPr>
            <w:tcW w:w="998" w:type="dxa"/>
            <w:noWrap/>
            <w:hideMark/>
          </w:tcPr>
          <w:p w14:paraId="45B2958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9</w:t>
            </w:r>
          </w:p>
        </w:tc>
        <w:tc>
          <w:tcPr>
            <w:tcW w:w="998" w:type="dxa"/>
            <w:gridSpan w:val="2"/>
            <w:noWrap/>
            <w:hideMark/>
          </w:tcPr>
          <w:p w14:paraId="6F1FF313"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w:t>
            </w:r>
          </w:p>
        </w:tc>
        <w:tc>
          <w:tcPr>
            <w:tcW w:w="998" w:type="dxa"/>
            <w:noWrap/>
            <w:hideMark/>
          </w:tcPr>
          <w:p w14:paraId="37BD0A3A"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55</w:t>
            </w:r>
          </w:p>
        </w:tc>
        <w:tc>
          <w:tcPr>
            <w:tcW w:w="998" w:type="dxa"/>
            <w:noWrap/>
            <w:hideMark/>
          </w:tcPr>
          <w:p w14:paraId="6A3E2351"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56</w:t>
            </w:r>
          </w:p>
        </w:tc>
      </w:tr>
      <w:tr w:rsidR="00277988" w:rsidRPr="000E0C38" w14:paraId="07626DF4" w14:textId="77777777" w:rsidTr="00277988">
        <w:trPr>
          <w:cnfStyle w:val="000000100000" w:firstRow="0" w:lastRow="0" w:firstColumn="0" w:lastColumn="0" w:oddVBand="0" w:evenVBand="0" w:oddHBand="1" w:evenHBand="0" w:firstRowFirstColumn="0" w:firstRowLastColumn="0" w:lastRowFirstColumn="0" w:lastRowLastColumn="0"/>
          <w:trHeight w:val="300"/>
        </w:trPr>
        <w:tc>
          <w:tcPr>
            <w:tcW w:w="3402" w:type="dxa"/>
            <w:noWrap/>
            <w:hideMark/>
          </w:tcPr>
          <w:p w14:paraId="136FE2D0"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Uganda</w:t>
            </w:r>
          </w:p>
        </w:tc>
        <w:tc>
          <w:tcPr>
            <w:tcW w:w="828" w:type="dxa"/>
            <w:noWrap/>
            <w:hideMark/>
          </w:tcPr>
          <w:p w14:paraId="465D0A46"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634.7</w:t>
            </w:r>
          </w:p>
        </w:tc>
        <w:tc>
          <w:tcPr>
            <w:tcW w:w="998" w:type="dxa"/>
            <w:gridSpan w:val="2"/>
            <w:noWrap/>
            <w:hideMark/>
          </w:tcPr>
          <w:p w14:paraId="7A5FE88E"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749.5</w:t>
            </w:r>
          </w:p>
        </w:tc>
        <w:tc>
          <w:tcPr>
            <w:tcW w:w="998" w:type="dxa"/>
            <w:noWrap/>
            <w:hideMark/>
          </w:tcPr>
          <w:p w14:paraId="4C699A94"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w:t>
            </w:r>
          </w:p>
        </w:tc>
        <w:tc>
          <w:tcPr>
            <w:tcW w:w="998" w:type="dxa"/>
            <w:gridSpan w:val="2"/>
            <w:noWrap/>
            <w:hideMark/>
          </w:tcPr>
          <w:p w14:paraId="0A5BF783"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2</w:t>
            </w:r>
          </w:p>
        </w:tc>
        <w:tc>
          <w:tcPr>
            <w:tcW w:w="998" w:type="dxa"/>
            <w:noWrap/>
            <w:hideMark/>
          </w:tcPr>
          <w:p w14:paraId="0533049B"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50</w:t>
            </w:r>
          </w:p>
        </w:tc>
        <w:tc>
          <w:tcPr>
            <w:tcW w:w="998" w:type="dxa"/>
            <w:noWrap/>
            <w:hideMark/>
          </w:tcPr>
          <w:p w14:paraId="114461A3"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50</w:t>
            </w:r>
          </w:p>
        </w:tc>
      </w:tr>
      <w:tr w:rsidR="00277988" w:rsidRPr="000E0C38" w14:paraId="3C64BA0A" w14:textId="77777777" w:rsidTr="00277988">
        <w:trPr>
          <w:cnfStyle w:val="000000010000" w:firstRow="0" w:lastRow="0" w:firstColumn="0" w:lastColumn="0" w:oddVBand="0" w:evenVBand="0" w:oddHBand="0" w:evenHBand="1" w:firstRowFirstColumn="0" w:firstRowLastColumn="0" w:lastRowFirstColumn="0" w:lastRowLastColumn="0"/>
          <w:trHeight w:val="300"/>
        </w:trPr>
        <w:tc>
          <w:tcPr>
            <w:tcW w:w="3402" w:type="dxa"/>
            <w:noWrap/>
            <w:hideMark/>
          </w:tcPr>
          <w:p w14:paraId="6620E4E8"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Yemen</w:t>
            </w:r>
          </w:p>
        </w:tc>
        <w:tc>
          <w:tcPr>
            <w:tcW w:w="828" w:type="dxa"/>
            <w:noWrap/>
            <w:hideMark/>
          </w:tcPr>
          <w:p w14:paraId="16FA8C20"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143.5</w:t>
            </w:r>
          </w:p>
        </w:tc>
        <w:tc>
          <w:tcPr>
            <w:tcW w:w="998" w:type="dxa"/>
            <w:gridSpan w:val="2"/>
            <w:noWrap/>
            <w:hideMark/>
          </w:tcPr>
          <w:p w14:paraId="24DE540F"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344.1</w:t>
            </w:r>
          </w:p>
        </w:tc>
        <w:tc>
          <w:tcPr>
            <w:tcW w:w="998" w:type="dxa"/>
            <w:noWrap/>
            <w:hideMark/>
          </w:tcPr>
          <w:p w14:paraId="004B9247"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gridSpan w:val="2"/>
            <w:noWrap/>
            <w:hideMark/>
          </w:tcPr>
          <w:p w14:paraId="6E376490"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noWrap/>
            <w:hideMark/>
          </w:tcPr>
          <w:p w14:paraId="5E19E00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44</w:t>
            </w:r>
          </w:p>
        </w:tc>
        <w:tc>
          <w:tcPr>
            <w:tcW w:w="998" w:type="dxa"/>
            <w:noWrap/>
            <w:hideMark/>
          </w:tcPr>
          <w:p w14:paraId="21B51EA1"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48</w:t>
            </w:r>
          </w:p>
        </w:tc>
      </w:tr>
      <w:tr w:rsidR="00277988" w:rsidRPr="000E0C38" w14:paraId="1F5497D7" w14:textId="77777777" w:rsidTr="00277988">
        <w:trPr>
          <w:cnfStyle w:val="000000100000" w:firstRow="0" w:lastRow="0" w:firstColumn="0" w:lastColumn="0" w:oddVBand="0" w:evenVBand="0" w:oddHBand="1" w:evenHBand="0" w:firstRowFirstColumn="0" w:firstRowLastColumn="0" w:lastRowFirstColumn="0" w:lastRowLastColumn="0"/>
          <w:trHeight w:val="300"/>
        </w:trPr>
        <w:tc>
          <w:tcPr>
            <w:tcW w:w="3402" w:type="dxa"/>
            <w:noWrap/>
            <w:hideMark/>
          </w:tcPr>
          <w:p w14:paraId="7F41EA45" w14:textId="77777777" w:rsidR="00531B46" w:rsidRPr="000E0C38" w:rsidRDefault="00531B46" w:rsidP="00593181">
            <w:pPr>
              <w:rPr>
                <w:rFonts w:eastAsia="Times New Roman" w:cstheme="minorHAnsi"/>
                <w:sz w:val="20"/>
                <w:szCs w:val="20"/>
                <w:lang w:eastAsia="zh-CN"/>
              </w:rPr>
            </w:pPr>
            <w:r w:rsidRPr="000E0C38">
              <w:rPr>
                <w:rFonts w:eastAsia="Times New Roman" w:cstheme="minorHAnsi"/>
                <w:sz w:val="20"/>
                <w:szCs w:val="20"/>
                <w:lang w:eastAsia="zh-CN"/>
              </w:rPr>
              <w:t>Zambia</w:t>
            </w:r>
          </w:p>
        </w:tc>
        <w:tc>
          <w:tcPr>
            <w:tcW w:w="828" w:type="dxa"/>
            <w:noWrap/>
            <w:hideMark/>
          </w:tcPr>
          <w:p w14:paraId="1EC554B3"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321.2</w:t>
            </w:r>
          </w:p>
        </w:tc>
        <w:tc>
          <w:tcPr>
            <w:tcW w:w="998" w:type="dxa"/>
            <w:gridSpan w:val="2"/>
            <w:noWrap/>
            <w:hideMark/>
          </w:tcPr>
          <w:p w14:paraId="134F25C8"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127.9</w:t>
            </w:r>
          </w:p>
        </w:tc>
        <w:tc>
          <w:tcPr>
            <w:tcW w:w="998" w:type="dxa"/>
            <w:noWrap/>
            <w:hideMark/>
          </w:tcPr>
          <w:p w14:paraId="5E691975"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w:t>
            </w:r>
          </w:p>
        </w:tc>
        <w:tc>
          <w:tcPr>
            <w:tcW w:w="998" w:type="dxa"/>
            <w:gridSpan w:val="2"/>
            <w:noWrap/>
            <w:hideMark/>
          </w:tcPr>
          <w:p w14:paraId="0102995D"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1</w:t>
            </w:r>
          </w:p>
        </w:tc>
        <w:tc>
          <w:tcPr>
            <w:tcW w:w="998" w:type="dxa"/>
            <w:noWrap/>
            <w:hideMark/>
          </w:tcPr>
          <w:p w14:paraId="5BC241ED"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49</w:t>
            </w:r>
          </w:p>
        </w:tc>
        <w:tc>
          <w:tcPr>
            <w:tcW w:w="998" w:type="dxa"/>
            <w:noWrap/>
            <w:hideMark/>
          </w:tcPr>
          <w:p w14:paraId="46680354"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50</w:t>
            </w:r>
          </w:p>
        </w:tc>
      </w:tr>
      <w:tr w:rsidR="00277988" w:rsidRPr="000E0C38" w14:paraId="77E1282D" w14:textId="77777777" w:rsidTr="00277988">
        <w:trPr>
          <w:cnfStyle w:val="000000010000" w:firstRow="0" w:lastRow="0" w:firstColumn="0" w:lastColumn="0" w:oddVBand="0" w:evenVBand="0" w:oddHBand="0" w:evenHBand="1" w:firstRowFirstColumn="0" w:firstRowLastColumn="0" w:lastRowFirstColumn="0" w:lastRowLastColumn="0"/>
          <w:trHeight w:val="300"/>
        </w:trPr>
        <w:tc>
          <w:tcPr>
            <w:tcW w:w="3402" w:type="dxa"/>
            <w:noWrap/>
            <w:hideMark/>
          </w:tcPr>
          <w:p w14:paraId="0B51E348" w14:textId="39EDD26E" w:rsidR="00531B46" w:rsidRPr="000E0C38" w:rsidRDefault="00277988" w:rsidP="00593181">
            <w:pPr>
              <w:rPr>
                <w:rFonts w:eastAsia="Times New Roman" w:cstheme="minorHAnsi"/>
                <w:sz w:val="20"/>
                <w:szCs w:val="20"/>
                <w:lang w:eastAsia="zh-CN"/>
              </w:rPr>
            </w:pPr>
            <w:r w:rsidRPr="000E0C38">
              <w:rPr>
                <w:rFonts w:eastAsia="Times New Roman" w:cstheme="minorHAnsi"/>
                <w:noProof/>
                <w:sz w:val="20"/>
                <w:szCs w:val="20"/>
                <w:lang w:eastAsia="en-GB"/>
              </w:rPr>
              <mc:AlternateContent>
                <mc:Choice Requires="wps">
                  <w:drawing>
                    <wp:anchor distT="45720" distB="45720" distL="114300" distR="114300" simplePos="0" relativeHeight="251659264" behindDoc="1" locked="0" layoutInCell="1" allowOverlap="1" wp14:anchorId="67F76D32" wp14:editId="058DD9DA">
                      <wp:simplePos x="0" y="0"/>
                      <wp:positionH relativeFrom="column">
                        <wp:posOffset>-124460</wp:posOffset>
                      </wp:positionH>
                      <wp:positionV relativeFrom="paragraph">
                        <wp:posOffset>181610</wp:posOffset>
                      </wp:positionV>
                      <wp:extent cx="2360930" cy="243840"/>
                      <wp:effectExtent l="0" t="0" r="698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3840"/>
                              </a:xfrm>
                              <a:prstGeom prst="rect">
                                <a:avLst/>
                              </a:prstGeom>
                              <a:solidFill>
                                <a:srgbClr val="FFFFFF"/>
                              </a:solidFill>
                              <a:ln w="9525">
                                <a:noFill/>
                                <a:miter lim="800000"/>
                                <a:headEnd/>
                                <a:tailEnd/>
                              </a:ln>
                            </wps:spPr>
                            <wps:txbx>
                              <w:txbxContent>
                                <w:p w14:paraId="46C604EE" w14:textId="40B029B0" w:rsidR="006A62B6" w:rsidRPr="00ED62FE" w:rsidRDefault="006A62B6" w:rsidP="00277988">
                                  <w:pPr>
                                    <w:rPr>
                                      <w:rFonts w:ascii="Arial" w:eastAsia="SimSun" w:hAnsi="Arial" w:cs="Arial"/>
                                      <w:i/>
                                      <w:sz w:val="16"/>
                                      <w:szCs w:val="16"/>
                                      <w:lang w:eastAsia="zh-CN"/>
                                    </w:rPr>
                                  </w:pPr>
                                  <w:r w:rsidRPr="00ED62FE">
                                    <w:rPr>
                                      <w:rFonts w:ascii="Arial" w:eastAsia="SimSun" w:hAnsi="Arial" w:cs="Arial"/>
                                      <w:i/>
                                      <w:sz w:val="16"/>
                                      <w:szCs w:val="16"/>
                                      <w:lang w:eastAsia="zh-CN"/>
                                    </w:rPr>
                                    <w:t>Source: United Nations (2015)</w:t>
                                  </w:r>
                                </w:p>
                                <w:p w14:paraId="706AD57B" w14:textId="1F19ED45" w:rsidR="006A62B6" w:rsidRDefault="006A62B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F76D32" id="Text Box 2" o:spid="_x0000_s1027" type="#_x0000_t202" style="position:absolute;margin-left:-9.8pt;margin-top:14.3pt;width:185.9pt;height:19.2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" stroked="f">
                      <v:textbox>
                        <w:txbxContent>
                          <w:p w14:paraId="46C604EE" w14:textId="40B029B0" w:rsidR="006A62B6" w:rsidRPr="00ED62FE" w:rsidRDefault="006A62B6" w:rsidP="00277988">
                            <w:pPr>
                              <w:rPr>
                                <w:rFonts w:ascii="Arial" w:eastAsia="SimSun" w:hAnsi="Arial" w:cs="Arial"/>
                                <w:i/>
                                <w:sz w:val="16"/>
                                <w:szCs w:val="16"/>
                                <w:lang w:eastAsia="zh-CN"/>
                              </w:rPr>
                            </w:pPr>
                            <w:r w:rsidRPr="00ED62FE">
                              <w:rPr>
                                <w:rFonts w:ascii="Arial" w:eastAsia="SimSun" w:hAnsi="Arial" w:cs="Arial"/>
                                <w:i/>
                                <w:sz w:val="16"/>
                                <w:szCs w:val="16"/>
                                <w:lang w:eastAsia="zh-CN"/>
                              </w:rPr>
                              <w:t>Source: United Nations (2015)</w:t>
                            </w:r>
                          </w:p>
                          <w:p w14:paraId="706AD57B" w14:textId="1F19ED45" w:rsidR="006A62B6" w:rsidRDefault="006A62B6"/>
                        </w:txbxContent>
                      </v:textbox>
                    </v:shape>
                  </w:pict>
                </mc:Fallback>
              </mc:AlternateContent>
            </w:r>
            <w:r w:rsidR="00531B46" w:rsidRPr="000E0C38">
              <w:rPr>
                <w:rFonts w:eastAsia="Times New Roman" w:cstheme="minorHAnsi"/>
                <w:sz w:val="20"/>
                <w:szCs w:val="20"/>
                <w:lang w:eastAsia="zh-CN"/>
              </w:rPr>
              <w:t>Zimbabwe</w:t>
            </w:r>
          </w:p>
        </w:tc>
        <w:tc>
          <w:tcPr>
            <w:tcW w:w="828" w:type="dxa"/>
            <w:noWrap/>
            <w:hideMark/>
          </w:tcPr>
          <w:p w14:paraId="5F890244"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410</w:t>
            </w:r>
          </w:p>
        </w:tc>
        <w:tc>
          <w:tcPr>
            <w:tcW w:w="998" w:type="dxa"/>
            <w:gridSpan w:val="2"/>
            <w:noWrap/>
            <w:hideMark/>
          </w:tcPr>
          <w:p w14:paraId="2628E4FD"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398.9</w:t>
            </w:r>
          </w:p>
        </w:tc>
        <w:tc>
          <w:tcPr>
            <w:tcW w:w="998" w:type="dxa"/>
            <w:noWrap/>
            <w:hideMark/>
          </w:tcPr>
          <w:p w14:paraId="09E5822C"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w:t>
            </w:r>
          </w:p>
        </w:tc>
        <w:tc>
          <w:tcPr>
            <w:tcW w:w="998" w:type="dxa"/>
            <w:gridSpan w:val="2"/>
            <w:noWrap/>
            <w:hideMark/>
          </w:tcPr>
          <w:p w14:paraId="44BF97AB"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3</w:t>
            </w:r>
          </w:p>
        </w:tc>
        <w:tc>
          <w:tcPr>
            <w:tcW w:w="998" w:type="dxa"/>
            <w:noWrap/>
            <w:hideMark/>
          </w:tcPr>
          <w:p w14:paraId="052A521E"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43</w:t>
            </w:r>
          </w:p>
        </w:tc>
        <w:tc>
          <w:tcPr>
            <w:tcW w:w="998" w:type="dxa"/>
            <w:noWrap/>
            <w:hideMark/>
          </w:tcPr>
          <w:p w14:paraId="439CF7F4" w14:textId="77777777" w:rsidR="00531B46" w:rsidRPr="000E0C38" w:rsidRDefault="00531B46" w:rsidP="00432BEF">
            <w:pPr>
              <w:jc w:val="right"/>
              <w:rPr>
                <w:rFonts w:eastAsia="Times New Roman" w:cstheme="minorHAnsi"/>
                <w:sz w:val="20"/>
                <w:szCs w:val="20"/>
                <w:lang w:eastAsia="zh-CN"/>
              </w:rPr>
            </w:pPr>
            <w:r w:rsidRPr="000E0C38">
              <w:rPr>
                <w:rFonts w:eastAsia="Times New Roman" w:cstheme="minorHAnsi"/>
                <w:sz w:val="20"/>
                <w:szCs w:val="20"/>
                <w:lang w:eastAsia="zh-CN"/>
              </w:rPr>
              <w:t>43</w:t>
            </w:r>
          </w:p>
        </w:tc>
      </w:tr>
    </w:tbl>
    <w:p w14:paraId="0DF2ADAA" w14:textId="77777777" w:rsidR="00905096" w:rsidRPr="000E0C38" w:rsidRDefault="00531B46"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lastRenderedPageBreak/>
        <w:t xml:space="preserve">The incidence of migrant workers in the construction sector is generally higher than in other sectors due to the seasonal and project-based nature of employment. </w:t>
      </w:r>
      <w:r w:rsidR="004840A2" w:rsidRPr="000E0C38">
        <w:rPr>
          <w:rFonts w:ascii="Arial" w:eastAsia="SimSun" w:hAnsi="Arial" w:cs="Arial"/>
          <w:sz w:val="20"/>
          <w:szCs w:val="20"/>
          <w:lang w:eastAsia="zh-CN"/>
        </w:rPr>
        <w:t xml:space="preserve">Construction is </w:t>
      </w:r>
      <w:r w:rsidR="00EB640C" w:rsidRPr="000E0C38">
        <w:rPr>
          <w:rFonts w:ascii="Arial" w:eastAsia="SimSun" w:hAnsi="Arial" w:cs="Arial"/>
          <w:sz w:val="20"/>
          <w:szCs w:val="20"/>
          <w:lang w:eastAsia="zh-CN"/>
        </w:rPr>
        <w:t>often</w:t>
      </w:r>
      <w:r w:rsidR="004840A2" w:rsidRPr="000E0C38">
        <w:rPr>
          <w:rFonts w:ascii="Arial" w:eastAsia="SimSun" w:hAnsi="Arial" w:cs="Arial"/>
          <w:sz w:val="20"/>
          <w:szCs w:val="20"/>
          <w:lang w:eastAsia="zh-CN"/>
        </w:rPr>
        <w:t xml:space="preserve"> considered a</w:t>
      </w:r>
      <w:r w:rsidR="00BE5BA7" w:rsidRPr="000E0C38">
        <w:rPr>
          <w:rFonts w:ascii="Arial" w:eastAsia="SimSun" w:hAnsi="Arial" w:cs="Arial"/>
          <w:sz w:val="20"/>
          <w:szCs w:val="20"/>
          <w:lang w:eastAsia="zh-CN"/>
        </w:rPr>
        <w:t>n</w:t>
      </w:r>
      <w:r w:rsidR="004840A2" w:rsidRPr="000E0C38">
        <w:rPr>
          <w:rFonts w:ascii="Arial" w:eastAsia="SimSun" w:hAnsi="Arial" w:cs="Arial"/>
          <w:sz w:val="20"/>
          <w:szCs w:val="20"/>
          <w:lang w:eastAsia="zh-CN"/>
        </w:rPr>
        <w:t xml:space="preserve"> ‘easy entry</w:t>
      </w:r>
      <w:r w:rsidR="002E3E94" w:rsidRPr="000E0C38">
        <w:rPr>
          <w:rFonts w:ascii="Arial" w:eastAsia="SimSun" w:hAnsi="Arial" w:cs="Arial"/>
          <w:sz w:val="20"/>
          <w:szCs w:val="20"/>
          <w:lang w:eastAsia="zh-CN"/>
        </w:rPr>
        <w:t>’ sector</w:t>
      </w:r>
      <w:r w:rsidR="004840A2" w:rsidRPr="000E0C38">
        <w:rPr>
          <w:rFonts w:ascii="Arial" w:eastAsia="SimSun" w:hAnsi="Arial" w:cs="Arial"/>
          <w:sz w:val="20"/>
          <w:szCs w:val="20"/>
          <w:lang w:eastAsia="zh-CN"/>
        </w:rPr>
        <w:t xml:space="preserve"> because it needs a considerable amount of non-skilled and semi-skilled workers. This, together with the fact that the sector is </w:t>
      </w:r>
      <w:r w:rsidR="00EB640C" w:rsidRPr="000E0C38">
        <w:rPr>
          <w:rFonts w:ascii="Arial" w:eastAsia="SimSun" w:hAnsi="Arial" w:cs="Arial"/>
          <w:sz w:val="20"/>
          <w:szCs w:val="20"/>
          <w:lang w:eastAsia="zh-CN"/>
        </w:rPr>
        <w:t>often not heavily</w:t>
      </w:r>
      <w:r w:rsidR="004840A2" w:rsidRPr="000E0C38">
        <w:rPr>
          <w:rFonts w:ascii="Arial" w:eastAsia="SimSun" w:hAnsi="Arial" w:cs="Arial"/>
          <w:sz w:val="20"/>
          <w:szCs w:val="20"/>
          <w:lang w:eastAsia="zh-CN"/>
        </w:rPr>
        <w:t xml:space="preserve"> regulated </w:t>
      </w:r>
      <w:r w:rsidR="00EB640C" w:rsidRPr="000E0C38">
        <w:rPr>
          <w:rFonts w:ascii="Arial" w:eastAsia="SimSun" w:hAnsi="Arial" w:cs="Arial"/>
          <w:sz w:val="20"/>
          <w:szCs w:val="20"/>
          <w:lang w:eastAsia="zh-CN"/>
        </w:rPr>
        <w:t xml:space="preserve">in DFID focus countries </w:t>
      </w:r>
      <w:r w:rsidR="004840A2" w:rsidRPr="000E0C38">
        <w:rPr>
          <w:rFonts w:ascii="Arial" w:eastAsia="SimSun" w:hAnsi="Arial" w:cs="Arial"/>
          <w:sz w:val="20"/>
          <w:szCs w:val="20"/>
          <w:lang w:eastAsia="zh-CN"/>
        </w:rPr>
        <w:t>makes it an eas</w:t>
      </w:r>
      <w:r w:rsidR="00EB640C" w:rsidRPr="000E0C38">
        <w:rPr>
          <w:rFonts w:ascii="Arial" w:eastAsia="SimSun" w:hAnsi="Arial" w:cs="Arial"/>
          <w:sz w:val="20"/>
          <w:szCs w:val="20"/>
          <w:lang w:eastAsia="zh-CN"/>
        </w:rPr>
        <w:t>ier sector to enter</w:t>
      </w:r>
      <w:r w:rsidR="004840A2" w:rsidRPr="000E0C38">
        <w:rPr>
          <w:rFonts w:ascii="Arial" w:eastAsia="SimSun" w:hAnsi="Arial" w:cs="Arial"/>
          <w:sz w:val="20"/>
          <w:szCs w:val="20"/>
          <w:lang w:eastAsia="zh-CN"/>
        </w:rPr>
        <w:t xml:space="preserve"> for non-regulated migrants. </w:t>
      </w:r>
      <w:r w:rsidRPr="000E0C38">
        <w:rPr>
          <w:rFonts w:ascii="Arial" w:eastAsia="SimSun" w:hAnsi="Arial" w:cs="Arial"/>
          <w:sz w:val="20"/>
          <w:szCs w:val="20"/>
          <w:lang w:eastAsia="zh-CN"/>
        </w:rPr>
        <w:t xml:space="preserve">In some </w:t>
      </w:r>
      <w:r w:rsidR="002E3E94" w:rsidRPr="000E0C38">
        <w:rPr>
          <w:rFonts w:ascii="Arial" w:eastAsia="SimSun" w:hAnsi="Arial" w:cs="Arial"/>
          <w:sz w:val="20"/>
          <w:szCs w:val="20"/>
          <w:lang w:eastAsia="zh-CN"/>
        </w:rPr>
        <w:t>cases,</w:t>
      </w:r>
      <w:r w:rsidRPr="000E0C38">
        <w:rPr>
          <w:rFonts w:ascii="Arial" w:eastAsia="SimSun" w:hAnsi="Arial" w:cs="Arial"/>
          <w:sz w:val="20"/>
          <w:szCs w:val="20"/>
          <w:lang w:eastAsia="zh-CN"/>
        </w:rPr>
        <w:t xml:space="preserve"> this leads to the participation of large amounts of foreign labour.</w:t>
      </w:r>
      <w:r w:rsidRPr="000E0C38">
        <w:rPr>
          <w:rFonts w:ascii="Arial" w:eastAsia="SimSun" w:hAnsi="Arial" w:cs="Arial"/>
          <w:sz w:val="20"/>
          <w:szCs w:val="20"/>
          <w:vertAlign w:val="superscript"/>
          <w:lang w:eastAsia="zh-CN"/>
        </w:rPr>
        <w:footnoteReference w:id="18"/>
      </w:r>
      <w:r w:rsidRPr="000E0C38">
        <w:rPr>
          <w:rFonts w:ascii="Arial" w:eastAsia="SimSun" w:hAnsi="Arial" w:cs="Arial"/>
          <w:sz w:val="20"/>
          <w:szCs w:val="20"/>
          <w:lang w:eastAsia="zh-CN"/>
        </w:rPr>
        <w:t xml:space="preserve"> In Kyrgyzstan for instance, a household income</w:t>
      </w:r>
      <w:r w:rsidR="00EB640C"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w:t>
      </w:r>
      <w:r w:rsidR="00EB640C"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 xml:space="preserve">expenditure survey </w:t>
      </w:r>
      <w:r w:rsidR="00EB640C" w:rsidRPr="000E0C38">
        <w:rPr>
          <w:rFonts w:ascii="Arial" w:eastAsia="SimSun" w:hAnsi="Arial" w:cs="Arial"/>
          <w:sz w:val="20"/>
          <w:szCs w:val="20"/>
          <w:lang w:eastAsia="zh-CN"/>
        </w:rPr>
        <w:t>in</w:t>
      </w:r>
      <w:r w:rsidRPr="000E0C38">
        <w:rPr>
          <w:rFonts w:ascii="Arial" w:eastAsia="SimSun" w:hAnsi="Arial" w:cs="Arial"/>
          <w:sz w:val="20"/>
          <w:szCs w:val="20"/>
          <w:lang w:eastAsia="zh-CN"/>
        </w:rPr>
        <w:t xml:space="preserve"> 2015 showed that migrants constitute around 29 per cent of total workers in the sector (above an average of 8 per cent across all sectors).</w:t>
      </w:r>
      <w:r w:rsidR="00572ADD" w:rsidRPr="000E0C38">
        <w:rPr>
          <w:rFonts w:ascii="Arial" w:eastAsia="SimSun" w:hAnsi="Arial" w:cs="Arial"/>
          <w:sz w:val="20"/>
          <w:szCs w:val="20"/>
          <w:lang w:eastAsia="zh-CN"/>
        </w:rPr>
        <w:t xml:space="preserve"> </w:t>
      </w:r>
    </w:p>
    <w:p w14:paraId="31FD160B" w14:textId="77777777" w:rsidR="00E52E38" w:rsidRPr="000E0C38" w:rsidRDefault="002E4691" w:rsidP="00593181">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The presence of </w:t>
      </w:r>
      <w:r w:rsidR="00D73863" w:rsidRPr="000E0C38">
        <w:rPr>
          <w:rFonts w:ascii="Arial" w:eastAsia="SimSun" w:hAnsi="Arial" w:cs="Arial"/>
          <w:sz w:val="20"/>
          <w:szCs w:val="20"/>
          <w:lang w:eastAsia="zh-CN"/>
        </w:rPr>
        <w:t xml:space="preserve">Chinese contractors together with large numbers of migrant workers in </w:t>
      </w:r>
      <w:r w:rsidR="007F1614" w:rsidRPr="000E0C38">
        <w:rPr>
          <w:rFonts w:ascii="Arial" w:eastAsia="SimSun" w:hAnsi="Arial" w:cs="Arial"/>
          <w:sz w:val="20"/>
          <w:szCs w:val="20"/>
          <w:lang w:eastAsia="zh-CN"/>
        </w:rPr>
        <w:t xml:space="preserve">the construction sector across </w:t>
      </w:r>
      <w:r w:rsidR="002E3E94" w:rsidRPr="000E0C38">
        <w:rPr>
          <w:rFonts w:ascii="Arial" w:eastAsia="SimSun" w:hAnsi="Arial" w:cs="Arial"/>
          <w:sz w:val="20"/>
          <w:szCs w:val="20"/>
          <w:lang w:eastAsia="zh-CN"/>
        </w:rPr>
        <w:t>Africa is</w:t>
      </w:r>
      <w:r w:rsidR="00EB640C" w:rsidRPr="000E0C38">
        <w:rPr>
          <w:rFonts w:ascii="Arial" w:eastAsia="SimSun" w:hAnsi="Arial" w:cs="Arial"/>
          <w:sz w:val="20"/>
          <w:szCs w:val="20"/>
          <w:lang w:eastAsia="zh-CN"/>
        </w:rPr>
        <w:t xml:space="preserve"> </w:t>
      </w:r>
      <w:r w:rsidR="007F1614" w:rsidRPr="000E0C38">
        <w:rPr>
          <w:rFonts w:ascii="Arial" w:eastAsia="SimSun" w:hAnsi="Arial" w:cs="Arial"/>
          <w:sz w:val="20"/>
          <w:szCs w:val="20"/>
          <w:lang w:eastAsia="zh-CN"/>
        </w:rPr>
        <w:t xml:space="preserve">being </w:t>
      </w:r>
      <w:r w:rsidR="00EB640C" w:rsidRPr="000E0C38">
        <w:rPr>
          <w:rFonts w:ascii="Arial" w:eastAsia="SimSun" w:hAnsi="Arial" w:cs="Arial"/>
          <w:sz w:val="20"/>
          <w:szCs w:val="20"/>
          <w:lang w:eastAsia="zh-CN"/>
        </w:rPr>
        <w:t>increasingly scrutinis</w:t>
      </w:r>
      <w:r w:rsidR="00D73863" w:rsidRPr="000E0C38">
        <w:rPr>
          <w:rFonts w:ascii="Arial" w:eastAsia="SimSun" w:hAnsi="Arial" w:cs="Arial"/>
          <w:sz w:val="20"/>
          <w:szCs w:val="20"/>
          <w:lang w:eastAsia="zh-CN"/>
        </w:rPr>
        <w:t>ed. It has been argued that such foreign contractors do n</w:t>
      </w:r>
      <w:r w:rsidR="007F1614" w:rsidRPr="000E0C38">
        <w:rPr>
          <w:rFonts w:ascii="Arial" w:eastAsia="SimSun" w:hAnsi="Arial" w:cs="Arial"/>
          <w:sz w:val="20"/>
          <w:szCs w:val="20"/>
          <w:lang w:eastAsia="zh-CN"/>
        </w:rPr>
        <w:t>ot employ the local workforce on</w:t>
      </w:r>
      <w:r w:rsidR="00D73863" w:rsidRPr="000E0C38">
        <w:rPr>
          <w:rFonts w:ascii="Arial" w:eastAsia="SimSun" w:hAnsi="Arial" w:cs="Arial"/>
          <w:sz w:val="20"/>
          <w:szCs w:val="20"/>
          <w:lang w:eastAsia="zh-CN"/>
        </w:rPr>
        <w:t xml:space="preserve"> their projects. Recent data however reveals that up to 85 per cent of employees of Chinese contractors in Africa are locals. More information can be found in Chapter 2.2 and Chapter 4.2. </w:t>
      </w:r>
    </w:p>
    <w:p w14:paraId="5543822E" w14:textId="77777777" w:rsidR="007D0079" w:rsidRPr="000E0C38" w:rsidRDefault="007D0079" w:rsidP="00432BEF">
      <w:pPr>
        <w:pStyle w:val="Heading2"/>
        <w:spacing w:before="0" w:after="120"/>
        <w:rPr>
          <w:lang w:eastAsia="zh-CN"/>
        </w:rPr>
      </w:pPr>
      <w:bookmarkStart w:id="11" w:name="_Toc498019388"/>
      <w:r w:rsidRPr="000E0C38">
        <w:rPr>
          <w:lang w:eastAsia="zh-CN"/>
        </w:rPr>
        <w:t xml:space="preserve">1.3 </w:t>
      </w:r>
      <w:r w:rsidR="00363811" w:rsidRPr="000E0C38">
        <w:rPr>
          <w:lang w:eastAsia="zh-CN"/>
        </w:rPr>
        <w:t xml:space="preserve">Female </w:t>
      </w:r>
      <w:r w:rsidR="00662135" w:rsidRPr="000E0C38">
        <w:rPr>
          <w:lang w:eastAsia="zh-CN"/>
        </w:rPr>
        <w:t>participation</w:t>
      </w:r>
      <w:bookmarkEnd w:id="11"/>
      <w:r w:rsidR="00662135" w:rsidRPr="000E0C38">
        <w:rPr>
          <w:lang w:eastAsia="zh-CN"/>
        </w:rPr>
        <w:t xml:space="preserve"> </w:t>
      </w:r>
    </w:p>
    <w:p w14:paraId="19E604EA" w14:textId="77777777" w:rsidR="007D0079" w:rsidRPr="000E0C38" w:rsidRDefault="007D0079"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Despite increasing in recent years, participation of women in employment in the construction sector remains lower than in most other sectors. Equal access to employment </w:t>
      </w:r>
      <w:r w:rsidR="007F1614" w:rsidRPr="000E0C38">
        <w:rPr>
          <w:rFonts w:ascii="Arial" w:eastAsia="SimSun" w:hAnsi="Arial" w:cs="Arial"/>
          <w:sz w:val="20"/>
          <w:szCs w:val="20"/>
          <w:lang w:eastAsia="zh-CN"/>
        </w:rPr>
        <w:t>is far from being</w:t>
      </w:r>
      <w:r w:rsidRPr="000E0C38">
        <w:rPr>
          <w:rFonts w:ascii="Arial" w:eastAsia="SimSun" w:hAnsi="Arial" w:cs="Arial"/>
          <w:sz w:val="20"/>
          <w:szCs w:val="20"/>
          <w:lang w:eastAsia="zh-CN"/>
        </w:rPr>
        <w:t xml:space="preserve"> achieved.</w:t>
      </w:r>
      <w:r w:rsidRPr="000E0C38">
        <w:rPr>
          <w:rFonts w:ascii="Arial" w:eastAsia="SimSun" w:hAnsi="Arial" w:cs="Arial"/>
          <w:sz w:val="20"/>
          <w:szCs w:val="20"/>
          <w:vertAlign w:val="superscript"/>
          <w:lang w:eastAsia="zh-CN"/>
        </w:rPr>
        <w:footnoteReference w:id="19"/>
      </w:r>
      <w:r w:rsidRPr="000E0C38">
        <w:rPr>
          <w:rFonts w:ascii="Arial" w:eastAsia="SimSun" w:hAnsi="Arial" w:cs="Arial"/>
          <w:sz w:val="20"/>
          <w:szCs w:val="20"/>
          <w:lang w:eastAsia="zh-CN"/>
        </w:rPr>
        <w:t xml:space="preserve"> </w:t>
      </w:r>
      <w:r w:rsidR="00EA13CD" w:rsidRPr="000E0C38">
        <w:rPr>
          <w:rFonts w:ascii="Arial" w:eastAsia="SimSun" w:hAnsi="Arial" w:cs="Arial"/>
          <w:sz w:val="20"/>
          <w:szCs w:val="20"/>
          <w:lang w:eastAsia="zh-CN"/>
        </w:rPr>
        <w:t xml:space="preserve">Empirical observation of ILO construction employment data shows that </w:t>
      </w:r>
      <w:proofErr w:type="gramStart"/>
      <w:r w:rsidRPr="000E0C38">
        <w:rPr>
          <w:rFonts w:ascii="Arial" w:eastAsia="SimSun" w:hAnsi="Arial" w:cs="Arial"/>
          <w:sz w:val="20"/>
          <w:szCs w:val="20"/>
          <w:lang w:eastAsia="zh-CN"/>
        </w:rPr>
        <w:t>In</w:t>
      </w:r>
      <w:proofErr w:type="gramEnd"/>
      <w:r w:rsidRPr="000E0C38">
        <w:rPr>
          <w:rFonts w:ascii="Arial" w:eastAsia="SimSun" w:hAnsi="Arial" w:cs="Arial"/>
          <w:sz w:val="20"/>
          <w:szCs w:val="20"/>
          <w:lang w:eastAsia="zh-CN"/>
        </w:rPr>
        <w:t xml:space="preserve"> most countries changes in the labour market are more pronounced for women than for men</w:t>
      </w:r>
      <w:r w:rsidR="007F1614" w:rsidRPr="000E0C38">
        <w:rPr>
          <w:rFonts w:ascii="Arial" w:eastAsia="SimSun" w:hAnsi="Arial" w:cs="Arial"/>
          <w:sz w:val="20"/>
          <w:szCs w:val="20"/>
          <w:lang w:eastAsia="zh-CN"/>
        </w:rPr>
        <w:t>.</w:t>
      </w:r>
      <w:r w:rsidR="00EA13CD" w:rsidRPr="000E0C38">
        <w:rPr>
          <w:rFonts w:ascii="Arial" w:eastAsia="SimSun" w:hAnsi="Arial" w:cs="Arial"/>
          <w:sz w:val="20"/>
          <w:szCs w:val="20"/>
          <w:vertAlign w:val="superscript"/>
          <w:lang w:eastAsia="zh-CN"/>
        </w:rPr>
        <w:t xml:space="preserve"> </w:t>
      </w:r>
      <w:r w:rsidR="00EA13CD" w:rsidRPr="000E0C38">
        <w:rPr>
          <w:rFonts w:ascii="Arial" w:eastAsia="SimSun" w:hAnsi="Arial" w:cs="Arial"/>
          <w:sz w:val="20"/>
          <w:szCs w:val="20"/>
          <w:vertAlign w:val="superscript"/>
          <w:lang w:eastAsia="zh-CN"/>
        </w:rPr>
        <w:footnoteReference w:id="20"/>
      </w:r>
      <w:r w:rsidRPr="000E0C38">
        <w:rPr>
          <w:rFonts w:ascii="Arial" w:eastAsia="SimSun" w:hAnsi="Arial" w:cs="Arial"/>
          <w:sz w:val="20"/>
          <w:szCs w:val="20"/>
          <w:lang w:eastAsia="zh-CN"/>
        </w:rPr>
        <w:t xml:space="preserve"> </w:t>
      </w:r>
      <w:r w:rsidR="007F1614" w:rsidRPr="000E0C38">
        <w:rPr>
          <w:rFonts w:ascii="Arial" w:eastAsia="SimSun" w:hAnsi="Arial" w:cs="Arial"/>
          <w:sz w:val="20"/>
          <w:szCs w:val="20"/>
          <w:lang w:eastAsia="zh-CN"/>
        </w:rPr>
        <w:t>W</w:t>
      </w:r>
      <w:r w:rsidRPr="000E0C38">
        <w:rPr>
          <w:rFonts w:ascii="Arial" w:eastAsia="SimSun" w:hAnsi="Arial" w:cs="Arial"/>
          <w:sz w:val="20"/>
          <w:szCs w:val="20"/>
          <w:lang w:eastAsia="zh-CN"/>
        </w:rPr>
        <w:t>hen there is high demand for labour in the sector, female employm</w:t>
      </w:r>
      <w:r w:rsidR="007F1614" w:rsidRPr="000E0C38">
        <w:rPr>
          <w:rFonts w:ascii="Arial" w:eastAsia="SimSun" w:hAnsi="Arial" w:cs="Arial"/>
          <w:sz w:val="20"/>
          <w:szCs w:val="20"/>
          <w:lang w:eastAsia="zh-CN"/>
        </w:rPr>
        <w:t>ent rates increase proportionatel</w:t>
      </w:r>
      <w:r w:rsidRPr="000E0C38">
        <w:rPr>
          <w:rFonts w:ascii="Arial" w:eastAsia="SimSun" w:hAnsi="Arial" w:cs="Arial"/>
          <w:sz w:val="20"/>
          <w:szCs w:val="20"/>
          <w:lang w:eastAsia="zh-CN"/>
        </w:rPr>
        <w:t xml:space="preserve">y more than </w:t>
      </w:r>
      <w:r w:rsidR="007F1614" w:rsidRPr="000E0C38">
        <w:rPr>
          <w:rFonts w:ascii="Arial" w:eastAsia="SimSun" w:hAnsi="Arial" w:cs="Arial"/>
          <w:sz w:val="20"/>
          <w:szCs w:val="20"/>
          <w:lang w:eastAsia="zh-CN"/>
        </w:rPr>
        <w:t>male rates</w:t>
      </w:r>
      <w:r w:rsidRPr="000E0C38">
        <w:rPr>
          <w:rFonts w:ascii="Arial" w:eastAsia="SimSun" w:hAnsi="Arial" w:cs="Arial"/>
          <w:sz w:val="20"/>
          <w:szCs w:val="20"/>
          <w:lang w:eastAsia="zh-CN"/>
        </w:rPr>
        <w:t xml:space="preserve">. </w:t>
      </w:r>
      <w:r w:rsidR="007F1614" w:rsidRPr="000E0C38">
        <w:rPr>
          <w:rFonts w:ascii="Arial" w:eastAsia="SimSun" w:hAnsi="Arial" w:cs="Arial"/>
          <w:sz w:val="20"/>
          <w:szCs w:val="20"/>
          <w:lang w:eastAsia="zh-CN"/>
        </w:rPr>
        <w:t>When</w:t>
      </w:r>
      <w:r w:rsidRPr="000E0C38">
        <w:rPr>
          <w:rFonts w:ascii="Arial" w:eastAsia="SimSun" w:hAnsi="Arial" w:cs="Arial"/>
          <w:sz w:val="20"/>
          <w:szCs w:val="20"/>
          <w:lang w:eastAsia="zh-CN"/>
        </w:rPr>
        <w:t xml:space="preserve"> there is </w:t>
      </w:r>
      <w:r w:rsidR="007F1614" w:rsidRPr="000E0C38">
        <w:rPr>
          <w:rFonts w:ascii="Arial" w:eastAsia="SimSun" w:hAnsi="Arial" w:cs="Arial"/>
          <w:sz w:val="20"/>
          <w:szCs w:val="20"/>
          <w:lang w:eastAsia="zh-CN"/>
        </w:rPr>
        <w:t>a reduction</w:t>
      </w:r>
      <w:r w:rsidRPr="000E0C38">
        <w:rPr>
          <w:rFonts w:ascii="Arial" w:eastAsia="SimSun" w:hAnsi="Arial" w:cs="Arial"/>
          <w:sz w:val="20"/>
          <w:szCs w:val="20"/>
          <w:lang w:eastAsia="zh-CN"/>
        </w:rPr>
        <w:t xml:space="preserve"> in the </w:t>
      </w:r>
      <w:r w:rsidR="00BD632B" w:rsidRPr="000E0C38">
        <w:rPr>
          <w:rFonts w:ascii="Arial" w:eastAsia="SimSun" w:hAnsi="Arial" w:cs="Arial"/>
          <w:sz w:val="20"/>
          <w:szCs w:val="20"/>
          <w:lang w:eastAsia="zh-CN"/>
        </w:rPr>
        <w:t xml:space="preserve">construction </w:t>
      </w:r>
      <w:r w:rsidRPr="000E0C38">
        <w:rPr>
          <w:rFonts w:ascii="Arial" w:eastAsia="SimSun" w:hAnsi="Arial" w:cs="Arial"/>
          <w:sz w:val="20"/>
          <w:szCs w:val="20"/>
          <w:lang w:eastAsia="zh-CN"/>
        </w:rPr>
        <w:t xml:space="preserve">workforce, female employment decreases </w:t>
      </w:r>
      <w:r w:rsidR="007F1614" w:rsidRPr="000E0C38">
        <w:rPr>
          <w:rFonts w:ascii="Arial" w:eastAsia="SimSun" w:hAnsi="Arial" w:cs="Arial"/>
          <w:sz w:val="20"/>
          <w:szCs w:val="20"/>
          <w:lang w:eastAsia="zh-CN"/>
        </w:rPr>
        <w:t>faster</w:t>
      </w:r>
      <w:r w:rsidRPr="000E0C38">
        <w:rPr>
          <w:rFonts w:ascii="Arial" w:eastAsia="SimSun" w:hAnsi="Arial" w:cs="Arial"/>
          <w:sz w:val="20"/>
          <w:szCs w:val="20"/>
          <w:lang w:eastAsia="zh-CN"/>
        </w:rPr>
        <w:t xml:space="preserve"> than male employment. </w:t>
      </w:r>
    </w:p>
    <w:p w14:paraId="2857558F" w14:textId="031C7972" w:rsidR="007D0079" w:rsidRPr="000E0C38" w:rsidRDefault="00EA13CD" w:rsidP="00432BEF">
      <w:pPr>
        <w:spacing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According to ILO data (2015a)</w:t>
      </w:r>
      <w:r w:rsidR="007D0079" w:rsidRPr="000E0C38">
        <w:rPr>
          <w:rFonts w:ascii="Arial" w:eastAsia="SimSun" w:hAnsi="Arial" w:cs="Arial"/>
          <w:sz w:val="20"/>
          <w:szCs w:val="20"/>
          <w:lang w:eastAsia="zh-CN"/>
        </w:rPr>
        <w:t xml:space="preserve">, women constitute 9.5 per cent of the </w:t>
      </w:r>
      <w:r w:rsidRPr="000E0C38">
        <w:rPr>
          <w:rFonts w:ascii="Arial" w:eastAsia="SimSun" w:hAnsi="Arial" w:cs="Arial"/>
          <w:sz w:val="20"/>
          <w:szCs w:val="20"/>
          <w:lang w:eastAsia="zh-CN"/>
        </w:rPr>
        <w:t xml:space="preserve">total </w:t>
      </w:r>
      <w:r w:rsidR="007D0079" w:rsidRPr="000E0C38">
        <w:rPr>
          <w:rFonts w:ascii="Arial" w:eastAsia="SimSun" w:hAnsi="Arial" w:cs="Arial"/>
          <w:sz w:val="20"/>
          <w:szCs w:val="20"/>
          <w:lang w:eastAsia="zh-CN"/>
        </w:rPr>
        <w:t>construction work force.</w:t>
      </w:r>
      <w:r w:rsidRPr="000E0C38">
        <w:rPr>
          <w:rFonts w:ascii="Arial" w:eastAsia="SimSun" w:hAnsi="Arial" w:cs="Arial"/>
          <w:sz w:val="20"/>
          <w:szCs w:val="20"/>
          <w:vertAlign w:val="superscript"/>
          <w:lang w:eastAsia="zh-CN"/>
        </w:rPr>
        <w:t xml:space="preserve"> </w:t>
      </w:r>
      <w:r w:rsidRPr="000E0C38">
        <w:rPr>
          <w:rFonts w:ascii="Arial" w:eastAsia="SimSun" w:hAnsi="Arial" w:cs="Arial"/>
          <w:sz w:val="20"/>
          <w:szCs w:val="20"/>
          <w:vertAlign w:val="superscript"/>
          <w:lang w:eastAsia="zh-CN"/>
        </w:rPr>
        <w:footnoteReference w:id="21"/>
      </w:r>
      <w:r w:rsidR="007D0079" w:rsidRPr="000E0C38">
        <w:rPr>
          <w:rFonts w:ascii="Arial" w:eastAsia="SimSun" w:hAnsi="Arial" w:cs="Arial"/>
          <w:sz w:val="20"/>
          <w:szCs w:val="20"/>
          <w:lang w:eastAsia="zh-CN"/>
        </w:rPr>
        <w:t xml:space="preserve"> The rate of women’s participation in the construction sector in Asia is generally higher than in Africa. </w:t>
      </w:r>
      <w:r w:rsidR="00134098" w:rsidRPr="000E0C38">
        <w:fldChar w:fldCharType="begin"/>
      </w:r>
      <w:r w:rsidR="00134098" w:rsidRPr="000E0C38">
        <w:instrText xml:space="preserve"> REF _Ref492037164 \h  \* MERGEFORMAT </w:instrText>
      </w:r>
      <w:r w:rsidR="00134098" w:rsidRPr="000E0C38">
        <w:fldChar w:fldCharType="separate"/>
      </w:r>
      <w:r w:rsidR="001A6968" w:rsidRPr="000E0C38">
        <w:rPr>
          <w:rFonts w:ascii="Arial" w:hAnsi="Arial" w:cs="Arial"/>
          <w:sz w:val="20"/>
          <w:szCs w:val="20"/>
        </w:rPr>
        <w:t>Figure 2</w:t>
      </w:r>
      <w:r w:rsidR="00134098" w:rsidRPr="000E0C38">
        <w:fldChar w:fldCharType="end"/>
      </w:r>
      <w:r w:rsidR="007D0079" w:rsidRPr="000E0C38">
        <w:rPr>
          <w:rFonts w:ascii="Arial" w:eastAsia="SimSun" w:hAnsi="Arial" w:cs="Arial"/>
          <w:sz w:val="20"/>
          <w:szCs w:val="20"/>
          <w:lang w:eastAsia="zh-CN"/>
        </w:rPr>
        <w:t xml:space="preserve"> shows the share of women workers out of all workers in the construction industry in DFID focus countries in 2014, and the expected change between 2014 and 2019.</w:t>
      </w:r>
      <w:r w:rsidR="007D0079" w:rsidRPr="000E0C38">
        <w:rPr>
          <w:rFonts w:ascii="Arial" w:eastAsia="SimSun" w:hAnsi="Arial" w:cs="Arial"/>
          <w:sz w:val="20"/>
          <w:szCs w:val="20"/>
          <w:vertAlign w:val="superscript"/>
          <w:lang w:eastAsia="zh-CN"/>
        </w:rPr>
        <w:footnoteReference w:id="22"/>
      </w:r>
      <w:r w:rsidR="007D0079" w:rsidRPr="000E0C38">
        <w:rPr>
          <w:rFonts w:ascii="Arial" w:eastAsia="SimSun" w:hAnsi="Arial" w:cs="Arial"/>
          <w:sz w:val="20"/>
          <w:szCs w:val="20"/>
          <w:lang w:eastAsia="zh-CN"/>
        </w:rPr>
        <w:t xml:space="preserve"> Average annual employment growth for women is 5.0 per cent, which is higher than overall average employment growth of 3.1 per cent (</w:t>
      </w:r>
      <w:r w:rsidR="00593181" w:rsidRPr="000E0C38">
        <w:rPr>
          <w:rFonts w:ascii="Arial" w:eastAsia="SimSun" w:hAnsi="Arial" w:cs="Arial"/>
          <w:sz w:val="20"/>
          <w:szCs w:val="20"/>
          <w:lang w:eastAsia="zh-CN"/>
        </w:rPr>
        <w:t xml:space="preserve">see </w:t>
      </w:r>
      <w:r w:rsidR="00277988" w:rsidRPr="000E0C38">
        <w:rPr>
          <w:rFonts w:ascii="Arial" w:eastAsia="SimSun" w:hAnsi="Arial" w:cs="Arial"/>
          <w:sz w:val="20"/>
          <w:szCs w:val="20"/>
          <w:lang w:eastAsia="zh-CN"/>
        </w:rPr>
        <w:t>F</w:t>
      </w:r>
      <w:r w:rsidR="007D0079" w:rsidRPr="000E0C38">
        <w:rPr>
          <w:rFonts w:ascii="Arial" w:eastAsia="SimSun" w:hAnsi="Arial" w:cs="Arial"/>
          <w:sz w:val="20"/>
          <w:szCs w:val="20"/>
          <w:lang w:eastAsia="zh-CN"/>
        </w:rPr>
        <w:t xml:space="preserve">igure </w:t>
      </w:r>
      <w:r w:rsidR="00277988" w:rsidRPr="000E0C38">
        <w:rPr>
          <w:rFonts w:ascii="Arial" w:eastAsia="SimSun" w:hAnsi="Arial" w:cs="Arial"/>
          <w:sz w:val="20"/>
          <w:szCs w:val="20"/>
          <w:lang w:eastAsia="zh-CN"/>
        </w:rPr>
        <w:t>2</w:t>
      </w:r>
      <w:r w:rsidR="00593181" w:rsidRPr="000E0C38">
        <w:rPr>
          <w:rFonts w:ascii="Arial" w:eastAsia="SimSun" w:hAnsi="Arial" w:cs="Arial"/>
          <w:sz w:val="20"/>
          <w:szCs w:val="20"/>
          <w:lang w:eastAsia="zh-CN"/>
        </w:rPr>
        <w:t xml:space="preserve"> on the next page</w:t>
      </w:r>
      <w:r w:rsidR="007D0079" w:rsidRPr="000E0C38">
        <w:rPr>
          <w:rFonts w:ascii="Arial" w:eastAsia="SimSun" w:hAnsi="Arial" w:cs="Arial"/>
          <w:sz w:val="20"/>
          <w:szCs w:val="20"/>
          <w:lang w:eastAsia="zh-CN"/>
        </w:rPr>
        <w:t xml:space="preserve">). </w:t>
      </w:r>
    </w:p>
    <w:p w14:paraId="397A0C8A" w14:textId="7216CE37" w:rsidR="007D0079" w:rsidRPr="000E0C38" w:rsidRDefault="007D0079" w:rsidP="00432BEF">
      <w:pPr>
        <w:pStyle w:val="Caption"/>
        <w:keepNext/>
        <w:spacing w:after="0" w:line="240" w:lineRule="auto"/>
        <w:jc w:val="both"/>
        <w:rPr>
          <w:b/>
          <w:sz w:val="20"/>
        </w:rPr>
      </w:pPr>
      <w:bookmarkStart w:id="12" w:name="_Ref492037164"/>
      <w:r w:rsidRPr="000E0C38">
        <w:rPr>
          <w:b/>
          <w:sz w:val="20"/>
          <w:szCs w:val="24"/>
        </w:rPr>
        <w:lastRenderedPageBreak/>
        <w:t xml:space="preserve">Figure </w:t>
      </w:r>
      <w:r w:rsidR="00226ED7" w:rsidRPr="000E0C38">
        <w:rPr>
          <w:b/>
          <w:sz w:val="20"/>
          <w:szCs w:val="24"/>
        </w:rPr>
        <w:fldChar w:fldCharType="begin"/>
      </w:r>
      <w:r w:rsidRPr="000E0C38">
        <w:rPr>
          <w:b/>
          <w:sz w:val="20"/>
          <w:szCs w:val="24"/>
        </w:rPr>
        <w:instrText xml:space="preserve"> SEQ Figure \* ARABIC </w:instrText>
      </w:r>
      <w:r w:rsidR="00226ED7" w:rsidRPr="000E0C38">
        <w:rPr>
          <w:b/>
          <w:sz w:val="20"/>
          <w:szCs w:val="24"/>
        </w:rPr>
        <w:fldChar w:fldCharType="separate"/>
      </w:r>
      <w:r w:rsidR="001A6968" w:rsidRPr="000E0C38">
        <w:rPr>
          <w:b/>
          <w:sz w:val="20"/>
          <w:szCs w:val="24"/>
        </w:rPr>
        <w:t>2</w:t>
      </w:r>
      <w:r w:rsidR="00226ED7" w:rsidRPr="000E0C38">
        <w:rPr>
          <w:b/>
          <w:sz w:val="20"/>
          <w:szCs w:val="24"/>
        </w:rPr>
        <w:fldChar w:fldCharType="end"/>
      </w:r>
      <w:bookmarkEnd w:id="12"/>
      <w:r w:rsidRPr="000E0C38">
        <w:rPr>
          <w:b/>
          <w:sz w:val="20"/>
        </w:rPr>
        <w:t xml:space="preserve">: </w:t>
      </w:r>
      <w:r w:rsidRPr="000E0C38">
        <w:rPr>
          <w:rFonts w:eastAsia="SimSun" w:cs="Arial"/>
          <w:b/>
          <w:sz w:val="20"/>
          <w:lang w:eastAsia="zh-CN"/>
        </w:rPr>
        <w:t>Share of women workers out of all</w:t>
      </w:r>
      <w:r w:rsidR="00EA13CD" w:rsidRPr="000E0C38">
        <w:rPr>
          <w:rFonts w:eastAsia="SimSun" w:cs="Arial"/>
          <w:b/>
          <w:sz w:val="20"/>
          <w:lang w:eastAsia="zh-CN"/>
        </w:rPr>
        <w:t xml:space="preserve"> </w:t>
      </w:r>
      <w:r w:rsidRPr="000E0C38">
        <w:rPr>
          <w:rFonts w:eastAsia="SimSun" w:cs="Arial"/>
          <w:b/>
          <w:sz w:val="20"/>
          <w:lang w:eastAsia="zh-CN"/>
        </w:rPr>
        <w:t>workers in the construction industry in 2014, and expected change by 2019</w:t>
      </w:r>
    </w:p>
    <w:p w14:paraId="1A3FEFD0" w14:textId="77777777" w:rsidR="007D0079" w:rsidRPr="000E0C38" w:rsidRDefault="007D0079" w:rsidP="00432BEF">
      <w:pPr>
        <w:spacing w:line="276" w:lineRule="auto"/>
        <w:jc w:val="both"/>
        <w:rPr>
          <w:rFonts w:ascii="Arial" w:eastAsia="SimSun" w:hAnsi="Arial" w:cs="Arial"/>
          <w:sz w:val="20"/>
          <w:szCs w:val="20"/>
          <w:lang w:eastAsia="zh-CN"/>
        </w:rPr>
      </w:pPr>
      <w:r w:rsidRPr="000E0C38">
        <w:rPr>
          <w:rFonts w:ascii="Arial" w:eastAsia="SimSun" w:hAnsi="Arial" w:cs="Arial"/>
          <w:noProof/>
          <w:sz w:val="20"/>
          <w:szCs w:val="20"/>
          <w:lang w:eastAsia="en-GB"/>
        </w:rPr>
        <w:drawing>
          <wp:inline distT="0" distB="0" distL="0" distR="0" wp14:anchorId="14DE4A86" wp14:editId="33B2EAA2">
            <wp:extent cx="6088380" cy="3581400"/>
            <wp:effectExtent l="0" t="0" r="7620" b="0"/>
            <wp:docPr id="2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1DFC4B3" w14:textId="77777777" w:rsidR="00FB0EA4" w:rsidRPr="000E0C38" w:rsidRDefault="007D0079" w:rsidP="00432BEF">
      <w:pPr>
        <w:spacing w:after="240"/>
        <w:jc w:val="both"/>
        <w:rPr>
          <w:rFonts w:ascii="Arial" w:eastAsia="SimSun" w:hAnsi="Arial" w:cs="Arial"/>
          <w:sz w:val="16"/>
          <w:szCs w:val="16"/>
          <w:lang w:eastAsia="zh-CN"/>
        </w:rPr>
      </w:pPr>
      <w:r w:rsidRPr="000E0C38">
        <w:rPr>
          <w:rFonts w:ascii="Arial" w:eastAsia="SimSun" w:hAnsi="Arial" w:cs="Arial"/>
          <w:sz w:val="16"/>
          <w:szCs w:val="16"/>
          <w:lang w:eastAsia="zh-CN"/>
        </w:rPr>
        <w:t xml:space="preserve">Source: </w:t>
      </w:r>
      <w:proofErr w:type="gramStart"/>
      <w:r w:rsidR="00FF699A" w:rsidRPr="000E0C38">
        <w:rPr>
          <w:rFonts w:ascii="Arial" w:eastAsia="SimSun" w:hAnsi="Arial" w:cs="Arial"/>
          <w:sz w:val="16"/>
          <w:szCs w:val="16"/>
          <w:lang w:eastAsia="zh-CN"/>
        </w:rPr>
        <w:t>ILO(</w:t>
      </w:r>
      <w:proofErr w:type="gramEnd"/>
      <w:r w:rsidR="00FF699A" w:rsidRPr="000E0C38">
        <w:rPr>
          <w:rFonts w:ascii="Arial" w:eastAsia="SimSun" w:hAnsi="Arial" w:cs="Arial"/>
          <w:sz w:val="16"/>
          <w:szCs w:val="16"/>
          <w:lang w:eastAsia="zh-CN"/>
        </w:rPr>
        <w:t xml:space="preserve">2015a) </w:t>
      </w:r>
      <w:r w:rsidRPr="000E0C38">
        <w:rPr>
          <w:rFonts w:ascii="Arial" w:eastAsia="SimSun" w:hAnsi="Arial" w:cs="Arial"/>
          <w:sz w:val="16"/>
          <w:szCs w:val="16"/>
          <w:lang w:eastAsia="zh-CN"/>
        </w:rPr>
        <w:t>Note: Origin is set at 9.53 per cent, 4.95 per cent, the world average female share of employment in the construction sector in 2014 and expected CAGR of female construction employment between 2014 and 2019.</w:t>
      </w:r>
      <w:r w:rsidR="00FB0EA4" w:rsidRPr="000E0C38">
        <w:rPr>
          <w:rFonts w:ascii="Arial" w:eastAsia="SimSun" w:hAnsi="Arial" w:cs="Arial"/>
          <w:sz w:val="16"/>
          <w:szCs w:val="16"/>
          <w:lang w:eastAsia="zh-CN"/>
        </w:rPr>
        <w:t xml:space="preserve"> CAGR is calculated with the following formula CAGR= ((Emp</w:t>
      </w:r>
      <w:r w:rsidR="00FB0EA4" w:rsidRPr="000E0C38">
        <w:rPr>
          <w:rFonts w:ascii="Arial" w:eastAsia="SimSun" w:hAnsi="Arial" w:cs="Arial"/>
          <w:sz w:val="16"/>
          <w:szCs w:val="16"/>
          <w:vertAlign w:val="subscript"/>
          <w:lang w:eastAsia="zh-CN"/>
        </w:rPr>
        <w:t>n</w:t>
      </w:r>
      <w:r w:rsidR="00FB0EA4" w:rsidRPr="000E0C38">
        <w:rPr>
          <w:rFonts w:ascii="Arial" w:eastAsia="SimSun" w:hAnsi="Arial" w:cs="Arial"/>
          <w:sz w:val="16"/>
          <w:szCs w:val="16"/>
          <w:lang w:eastAsia="zh-CN"/>
        </w:rPr>
        <w:t>-Emp</w:t>
      </w:r>
      <w:r w:rsidR="00FB0EA4" w:rsidRPr="000E0C38">
        <w:rPr>
          <w:rFonts w:ascii="Arial" w:eastAsia="SimSun" w:hAnsi="Arial" w:cs="Arial"/>
          <w:sz w:val="16"/>
          <w:szCs w:val="16"/>
          <w:vertAlign w:val="subscript"/>
          <w:lang w:eastAsia="zh-CN"/>
        </w:rPr>
        <w:t>0</w:t>
      </w:r>
      <w:r w:rsidR="00FB0EA4" w:rsidRPr="000E0C38">
        <w:rPr>
          <w:rFonts w:ascii="Arial" w:eastAsia="SimSun" w:hAnsi="Arial" w:cs="Arial"/>
          <w:sz w:val="16"/>
          <w:szCs w:val="16"/>
          <w:lang w:eastAsia="zh-CN"/>
        </w:rPr>
        <w:t>)/Emp</w:t>
      </w:r>
      <w:r w:rsidR="00FB0EA4" w:rsidRPr="000E0C38">
        <w:rPr>
          <w:rFonts w:ascii="Arial" w:eastAsia="SimSun" w:hAnsi="Arial" w:cs="Arial"/>
          <w:sz w:val="16"/>
          <w:szCs w:val="16"/>
          <w:vertAlign w:val="subscript"/>
          <w:lang w:eastAsia="zh-CN"/>
        </w:rPr>
        <w:t>0</w:t>
      </w:r>
      <w:r w:rsidR="00FB0EA4" w:rsidRPr="000E0C38">
        <w:rPr>
          <w:rFonts w:ascii="Arial" w:eastAsia="SimSun" w:hAnsi="Arial" w:cs="Arial"/>
          <w:sz w:val="16"/>
          <w:szCs w:val="16"/>
          <w:lang w:eastAsia="zh-CN"/>
        </w:rPr>
        <w:t xml:space="preserve">)/n, where </w:t>
      </w:r>
      <w:proofErr w:type="spellStart"/>
      <w:r w:rsidR="00FB0EA4" w:rsidRPr="000E0C38">
        <w:rPr>
          <w:rFonts w:ascii="Arial" w:eastAsia="SimSun" w:hAnsi="Arial" w:cs="Arial"/>
          <w:sz w:val="16"/>
          <w:szCs w:val="16"/>
          <w:lang w:eastAsia="zh-CN"/>
        </w:rPr>
        <w:t>Emp</w:t>
      </w:r>
      <w:r w:rsidR="00FB0EA4" w:rsidRPr="000E0C38">
        <w:rPr>
          <w:rFonts w:ascii="Arial" w:eastAsia="SimSun" w:hAnsi="Arial" w:cs="Arial"/>
          <w:sz w:val="16"/>
          <w:szCs w:val="16"/>
          <w:vertAlign w:val="subscript"/>
          <w:lang w:eastAsia="zh-CN"/>
        </w:rPr>
        <w:t>n</w:t>
      </w:r>
      <w:proofErr w:type="spellEnd"/>
      <w:r w:rsidR="00FB0EA4" w:rsidRPr="000E0C38">
        <w:rPr>
          <w:rFonts w:ascii="Arial" w:eastAsia="SimSun" w:hAnsi="Arial" w:cs="Arial"/>
          <w:sz w:val="16"/>
          <w:szCs w:val="16"/>
          <w:lang w:eastAsia="zh-CN"/>
        </w:rPr>
        <w:t xml:space="preserve"> is the forecasted female employment and Emp</w:t>
      </w:r>
      <w:r w:rsidR="00FB0EA4" w:rsidRPr="000E0C38">
        <w:rPr>
          <w:rFonts w:ascii="Arial" w:eastAsia="SimSun" w:hAnsi="Arial" w:cs="Arial"/>
          <w:sz w:val="16"/>
          <w:szCs w:val="16"/>
          <w:vertAlign w:val="subscript"/>
          <w:lang w:eastAsia="zh-CN"/>
        </w:rPr>
        <w:t>0</w:t>
      </w:r>
      <w:r w:rsidR="00FB0EA4" w:rsidRPr="000E0C38">
        <w:rPr>
          <w:rFonts w:ascii="Arial" w:eastAsia="SimSun" w:hAnsi="Arial" w:cs="Arial"/>
          <w:sz w:val="16"/>
          <w:szCs w:val="16"/>
          <w:lang w:eastAsia="zh-CN"/>
        </w:rPr>
        <w:t xml:space="preserve"> is female employment at the reference year.</w:t>
      </w:r>
    </w:p>
    <w:p w14:paraId="5EDBB780" w14:textId="48466A9E" w:rsidR="00784861" w:rsidRPr="000E0C38" w:rsidRDefault="007F1614"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The top right quadrant shows countries with larger than average female presence and high projected employment growth for women: including Bangladesh, India, and Nepal. The bottom left sector represents countries with lower than average female presence and low expected female employment growth</w:t>
      </w:r>
      <w:r w:rsidR="000A67A9" w:rsidRPr="000E0C38">
        <w:rPr>
          <w:rFonts w:ascii="Arial" w:eastAsia="SimSun" w:hAnsi="Arial" w:cs="Arial"/>
          <w:sz w:val="20"/>
          <w:szCs w:val="20"/>
          <w:lang w:eastAsia="zh-CN"/>
        </w:rPr>
        <w:t>. The Occupied Palestinian Territories is not included in Figure 2 as ILO data showed zero female employment in the construction sector</w:t>
      </w:r>
      <w:r w:rsidRPr="000E0C38">
        <w:rPr>
          <w:rFonts w:ascii="Arial" w:eastAsia="SimSun" w:hAnsi="Arial" w:cs="Arial"/>
          <w:sz w:val="20"/>
          <w:szCs w:val="20"/>
          <w:lang w:eastAsia="zh-CN"/>
        </w:rPr>
        <w:t xml:space="preserve">. Most DFID countries fall into this category – they are still expected to experience growth in female employment, although lower than the 5.0 per cent average. Countries in the top-left quadrant have lower than average female presence in the sector currently, but higher than average expected growth. Female employment will experience outstanding growth in the construction sector in Myanmar, rising from 41,000 women employed in 2014 to 99,000 in 2019 (CAGR 28.3 per cent). </w:t>
      </w:r>
      <w:r w:rsidR="006C29E4" w:rsidRPr="000E0C38">
        <w:rPr>
          <w:rFonts w:ascii="Arial" w:eastAsia="SimSun" w:hAnsi="Arial" w:cs="Arial"/>
          <w:sz w:val="20"/>
          <w:szCs w:val="20"/>
          <w:lang w:eastAsia="zh-CN"/>
        </w:rPr>
        <w:t xml:space="preserve">Such growth </w:t>
      </w:r>
      <w:r w:rsidR="009A6536">
        <w:rPr>
          <w:rFonts w:ascii="Arial" w:eastAsia="SimSun" w:hAnsi="Arial" w:cs="Arial"/>
          <w:sz w:val="20"/>
          <w:szCs w:val="20"/>
          <w:lang w:eastAsia="zh-CN"/>
        </w:rPr>
        <w:t>i</w:t>
      </w:r>
      <w:r w:rsidR="006C29E4" w:rsidRPr="000E0C38">
        <w:rPr>
          <w:rFonts w:ascii="Arial" w:eastAsia="SimSun" w:hAnsi="Arial" w:cs="Arial"/>
          <w:sz w:val="20"/>
          <w:szCs w:val="20"/>
          <w:lang w:eastAsia="zh-CN"/>
        </w:rPr>
        <w:t xml:space="preserve">s spurred by high economic growth and the development of Myanmar's manufacturing sector as well as increasing women participation of women in the labour market. </w:t>
      </w:r>
      <w:r w:rsidRPr="000E0C38">
        <w:rPr>
          <w:rFonts w:ascii="Arial" w:eastAsia="SimSun" w:hAnsi="Arial" w:cs="Arial"/>
          <w:sz w:val="20"/>
          <w:szCs w:val="20"/>
          <w:lang w:eastAsia="zh-CN"/>
        </w:rPr>
        <w:t>There may be a particular opportunity for investment here to support already growing female employment in the sector</w:t>
      </w:r>
      <w:r w:rsidR="006C29E4" w:rsidRPr="000E0C38">
        <w:rPr>
          <w:rFonts w:ascii="Arial" w:eastAsia="SimSun" w:hAnsi="Arial" w:cs="Arial"/>
          <w:sz w:val="20"/>
          <w:szCs w:val="20"/>
          <w:lang w:eastAsia="zh-CN"/>
        </w:rPr>
        <w:t>, adopting policy and operational measures to ad</w:t>
      </w:r>
      <w:r w:rsidR="00C83286" w:rsidRPr="000E0C38">
        <w:rPr>
          <w:rFonts w:ascii="Arial" w:eastAsia="SimSun" w:hAnsi="Arial" w:cs="Arial"/>
          <w:sz w:val="20"/>
          <w:szCs w:val="20"/>
          <w:lang w:eastAsia="zh-CN"/>
        </w:rPr>
        <w:t>apt the construction industr</w:t>
      </w:r>
      <w:r w:rsidR="00560CB6" w:rsidRPr="000E0C38">
        <w:rPr>
          <w:rFonts w:ascii="Arial" w:eastAsia="SimSun" w:hAnsi="Arial" w:cs="Arial"/>
          <w:sz w:val="20"/>
          <w:szCs w:val="20"/>
          <w:lang w:eastAsia="zh-CN"/>
        </w:rPr>
        <w:t>y’s</w:t>
      </w:r>
      <w:r w:rsidR="00C83286" w:rsidRPr="000E0C38">
        <w:rPr>
          <w:rFonts w:ascii="Arial" w:eastAsia="SimSun" w:hAnsi="Arial" w:cs="Arial"/>
          <w:sz w:val="20"/>
          <w:szCs w:val="20"/>
          <w:lang w:eastAsia="zh-CN"/>
        </w:rPr>
        <w:t xml:space="preserve"> skills and occupational health and safety environment to women participation</w:t>
      </w:r>
      <w:r w:rsidRPr="000E0C38">
        <w:rPr>
          <w:rFonts w:ascii="Arial" w:eastAsia="SimSun" w:hAnsi="Arial" w:cs="Arial"/>
          <w:sz w:val="20"/>
          <w:szCs w:val="20"/>
          <w:lang w:eastAsia="zh-CN"/>
        </w:rPr>
        <w:t>. Countries in the bottom right quadrant (Kyrgyzstan) have large female presence with low expected employment growth. The economies where the sector employs a larger proportion than average of female workers are Sierra Leone (21.7 per cent), Ethiopia (20.9 per cent), and Liberia (14.6 per cent).</w:t>
      </w:r>
      <w:r w:rsidRPr="000E0C38">
        <w:rPr>
          <w:rStyle w:val="FootnoteReference"/>
          <w:rFonts w:ascii="Arial" w:eastAsia="SimSun" w:hAnsi="Arial" w:cs="Arial"/>
          <w:sz w:val="20"/>
          <w:szCs w:val="20"/>
          <w:lang w:eastAsia="zh-CN"/>
        </w:rPr>
        <w:footnoteReference w:id="23"/>
      </w:r>
      <w:r w:rsidRPr="000E0C38">
        <w:rPr>
          <w:rFonts w:ascii="Arial" w:eastAsia="SimSun" w:hAnsi="Arial" w:cs="Arial"/>
          <w:sz w:val="20"/>
          <w:szCs w:val="20"/>
          <w:lang w:eastAsia="zh-CN"/>
        </w:rPr>
        <w:t xml:space="preserve"> High female participation in Sierra Leone could be partly explained by its strong labour movement with high union density and collective bargaining. However, in Ethiopia high female participation corresponds to sharp increases in labour demand.</w:t>
      </w:r>
      <w:r w:rsidRPr="000E0C38">
        <w:rPr>
          <w:rStyle w:val="FootnoteReference"/>
          <w:rFonts w:ascii="Arial" w:eastAsia="SimSun" w:hAnsi="Arial" w:cs="Arial"/>
          <w:sz w:val="20"/>
          <w:szCs w:val="20"/>
          <w:lang w:eastAsia="zh-CN"/>
        </w:rPr>
        <w:footnoteReference w:id="24"/>
      </w:r>
      <w:r w:rsidRPr="000E0C38">
        <w:rPr>
          <w:rFonts w:ascii="Arial" w:eastAsia="SimSun" w:hAnsi="Arial" w:cs="Arial"/>
          <w:sz w:val="20"/>
          <w:szCs w:val="20"/>
          <w:lang w:eastAsia="zh-CN"/>
        </w:rPr>
        <w:t xml:space="preserve"> </w:t>
      </w:r>
    </w:p>
    <w:p w14:paraId="714829BD" w14:textId="34AF843D" w:rsidR="007F1614" w:rsidRPr="000E0C38" w:rsidRDefault="007F1614" w:rsidP="00563705">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In some cases women</w:t>
      </w:r>
      <w:r w:rsidR="00784861" w:rsidRPr="000E0C38">
        <w:rPr>
          <w:rFonts w:ascii="Arial" w:eastAsia="SimSun" w:hAnsi="Arial" w:cs="Arial"/>
          <w:sz w:val="20"/>
          <w:szCs w:val="20"/>
          <w:lang w:eastAsia="zh-CN"/>
        </w:rPr>
        <w:t>’s</w:t>
      </w:r>
      <w:r w:rsidRPr="000E0C38">
        <w:rPr>
          <w:rFonts w:ascii="Arial" w:eastAsia="SimSun" w:hAnsi="Arial" w:cs="Arial"/>
          <w:sz w:val="20"/>
          <w:szCs w:val="20"/>
          <w:lang w:eastAsia="zh-CN"/>
        </w:rPr>
        <w:t xml:space="preserve"> participation is partially explained by women working in administrative, human resources, clerical and office-related technical areas of work which do not generally require travelling to </w:t>
      </w:r>
      <w:r w:rsidRPr="000E0C38">
        <w:rPr>
          <w:rFonts w:ascii="Arial" w:eastAsia="SimSun" w:hAnsi="Arial" w:cs="Arial"/>
          <w:sz w:val="20"/>
          <w:szCs w:val="20"/>
          <w:lang w:eastAsia="zh-CN"/>
        </w:rPr>
        <w:lastRenderedPageBreak/>
        <w:t>construction sites.</w:t>
      </w:r>
      <w:r w:rsidRPr="000E0C38">
        <w:rPr>
          <w:rFonts w:ascii="Arial" w:eastAsia="SimSun" w:hAnsi="Arial" w:cs="Arial"/>
          <w:sz w:val="20"/>
          <w:szCs w:val="20"/>
          <w:vertAlign w:val="superscript"/>
          <w:lang w:eastAsia="zh-CN"/>
        </w:rPr>
        <w:footnoteReference w:id="25"/>
      </w:r>
      <w:r w:rsidRPr="000E0C38">
        <w:rPr>
          <w:rFonts w:ascii="Arial" w:eastAsia="SimSun" w:hAnsi="Arial" w:cs="Arial"/>
          <w:sz w:val="20"/>
          <w:szCs w:val="20"/>
          <w:lang w:eastAsia="zh-CN"/>
        </w:rPr>
        <w:t xml:space="preserve"> The share of women workers in the construction sector has a weak positive correlation to </w:t>
      </w:r>
      <w:r w:rsidR="00784861" w:rsidRPr="000E0C38">
        <w:rPr>
          <w:rFonts w:ascii="Arial" w:eastAsia="SimSun" w:hAnsi="Arial" w:cs="Arial"/>
          <w:sz w:val="20"/>
          <w:szCs w:val="20"/>
          <w:lang w:eastAsia="zh-CN"/>
        </w:rPr>
        <w:t>economic growth</w:t>
      </w:r>
      <w:r w:rsidRPr="000E0C38">
        <w:rPr>
          <w:rFonts w:ascii="Arial" w:eastAsia="SimSun" w:hAnsi="Arial" w:cs="Arial"/>
          <w:sz w:val="20"/>
          <w:szCs w:val="20"/>
          <w:lang w:eastAsia="zh-CN"/>
        </w:rPr>
        <w:t xml:space="preserve"> (0.06). Union density is on the other hand more positively correlated with female participation in the sector (0</w:t>
      </w:r>
      <w:r w:rsidR="00784861" w:rsidRPr="000E0C38">
        <w:rPr>
          <w:rFonts w:ascii="Arial" w:eastAsia="SimSun" w:hAnsi="Arial" w:cs="Arial"/>
          <w:sz w:val="20"/>
          <w:szCs w:val="20"/>
          <w:lang w:eastAsia="zh-CN"/>
        </w:rPr>
        <w:t>.</w:t>
      </w:r>
      <w:r w:rsidRPr="000E0C38">
        <w:rPr>
          <w:rFonts w:ascii="Arial" w:eastAsia="SimSun" w:hAnsi="Arial" w:cs="Arial"/>
          <w:sz w:val="20"/>
          <w:szCs w:val="20"/>
          <w:lang w:eastAsia="zh-CN"/>
        </w:rPr>
        <w:t>66).</w:t>
      </w:r>
    </w:p>
    <w:p w14:paraId="787633F7" w14:textId="77777777" w:rsidR="002709CE" w:rsidRPr="000E0C38" w:rsidRDefault="00E52E38" w:rsidP="00432BEF">
      <w:pPr>
        <w:pStyle w:val="Heading2"/>
        <w:spacing w:before="0"/>
        <w:rPr>
          <w:lang w:eastAsia="zh-CN"/>
        </w:rPr>
      </w:pPr>
      <w:bookmarkStart w:id="13" w:name="_Toc498019389"/>
      <w:r w:rsidRPr="000E0C38">
        <w:rPr>
          <w:lang w:eastAsia="zh-CN"/>
        </w:rPr>
        <w:t>1.</w:t>
      </w:r>
      <w:r w:rsidR="007D0079" w:rsidRPr="000E0C38">
        <w:rPr>
          <w:lang w:eastAsia="zh-CN"/>
        </w:rPr>
        <w:t>4</w:t>
      </w:r>
      <w:r w:rsidRPr="000E0C38">
        <w:rPr>
          <w:lang w:eastAsia="zh-CN"/>
        </w:rPr>
        <w:tab/>
        <w:t xml:space="preserve">Jobs in </w:t>
      </w:r>
      <w:r w:rsidR="004826C3" w:rsidRPr="000E0C38">
        <w:rPr>
          <w:lang w:eastAsia="zh-CN"/>
        </w:rPr>
        <w:t xml:space="preserve">construction </w:t>
      </w:r>
      <w:r w:rsidRPr="000E0C38">
        <w:rPr>
          <w:lang w:eastAsia="zh-CN"/>
        </w:rPr>
        <w:t>supply chains</w:t>
      </w:r>
      <w:bookmarkEnd w:id="13"/>
    </w:p>
    <w:p w14:paraId="69B471C1" w14:textId="77777777" w:rsidR="00531B46" w:rsidRPr="000E0C38" w:rsidRDefault="00AD09C3" w:rsidP="00432BEF">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The construction sector is underpinned by an extensive supply chain, both in terms of service delivery and the un</w:t>
      </w:r>
      <w:r w:rsidR="00784861" w:rsidRPr="000E0C38">
        <w:rPr>
          <w:rFonts w:ascii="Arial" w:eastAsia="SimSun" w:hAnsi="Arial" w:cs="Arial"/>
          <w:sz w:val="20"/>
          <w:szCs w:val="20"/>
          <w:lang w:eastAsia="zh-CN"/>
        </w:rPr>
        <w:t xml:space="preserve">derlying materials and inputs. </w:t>
      </w:r>
      <w:r w:rsidRPr="000E0C38">
        <w:rPr>
          <w:rFonts w:ascii="Arial" w:eastAsia="SimSun" w:hAnsi="Arial" w:cs="Arial"/>
          <w:sz w:val="20"/>
          <w:szCs w:val="20"/>
          <w:lang w:eastAsia="zh-CN"/>
        </w:rPr>
        <w:t xml:space="preserve">This can include </w:t>
      </w:r>
      <w:r w:rsidR="008825FF" w:rsidRPr="000E0C38">
        <w:rPr>
          <w:rFonts w:ascii="Arial" w:eastAsia="SimSun" w:hAnsi="Arial" w:cs="Arial"/>
          <w:sz w:val="20"/>
          <w:szCs w:val="20"/>
          <w:lang w:eastAsia="zh-CN"/>
        </w:rPr>
        <w:t>companies and workers engaged in upstream industries such as mining and forestry, as well as intermediaries (e.g. processing, m</w:t>
      </w:r>
      <w:r w:rsidR="00784861" w:rsidRPr="000E0C38">
        <w:rPr>
          <w:rFonts w:ascii="Arial" w:eastAsia="SimSun" w:hAnsi="Arial" w:cs="Arial"/>
          <w:sz w:val="20"/>
          <w:szCs w:val="20"/>
          <w:lang w:eastAsia="zh-CN"/>
        </w:rPr>
        <w:t xml:space="preserve">anufacturing, transportation). </w:t>
      </w:r>
      <w:r w:rsidR="008825FF" w:rsidRPr="000E0C38">
        <w:rPr>
          <w:rFonts w:ascii="Arial" w:eastAsia="SimSun" w:hAnsi="Arial" w:cs="Arial"/>
          <w:sz w:val="20"/>
          <w:szCs w:val="20"/>
          <w:lang w:eastAsia="zh-CN"/>
        </w:rPr>
        <w:t xml:space="preserve">There is also a large downstream industry related to real estate and commercial property management, and other infrastructure services. </w:t>
      </w:r>
      <w:r w:rsidR="00531B46" w:rsidRPr="000E0C38">
        <w:rPr>
          <w:rFonts w:ascii="Arial" w:eastAsia="SimSun" w:hAnsi="Arial" w:cs="Arial"/>
          <w:sz w:val="20"/>
          <w:szCs w:val="20"/>
          <w:lang w:eastAsia="zh-CN"/>
        </w:rPr>
        <w:t>Figure 3</w:t>
      </w:r>
      <w:r w:rsidR="008C3D58" w:rsidRPr="000E0C38">
        <w:rPr>
          <w:rFonts w:ascii="Arial" w:eastAsia="SimSun" w:hAnsi="Arial" w:cs="Arial"/>
          <w:sz w:val="20"/>
          <w:szCs w:val="20"/>
          <w:lang w:eastAsia="zh-CN"/>
        </w:rPr>
        <w:t>, on the next page,</w:t>
      </w:r>
      <w:r w:rsidR="00531B46" w:rsidRPr="000E0C38">
        <w:rPr>
          <w:rFonts w:ascii="Arial" w:eastAsia="SimSun" w:hAnsi="Arial" w:cs="Arial"/>
          <w:sz w:val="20"/>
          <w:szCs w:val="20"/>
          <w:lang w:eastAsia="zh-CN"/>
        </w:rPr>
        <w:t xml:space="preserve"> illustrates the different elements of the construction value chain</w:t>
      </w:r>
      <w:r w:rsidR="005E1E88" w:rsidRPr="000E0C38">
        <w:rPr>
          <w:rFonts w:ascii="Arial" w:eastAsia="SimSun" w:hAnsi="Arial" w:cs="Arial"/>
          <w:sz w:val="20"/>
          <w:szCs w:val="20"/>
          <w:lang w:eastAsia="zh-CN"/>
        </w:rPr>
        <w:t>, mapping the large number of potential</w:t>
      </w:r>
      <w:r w:rsidR="00531B46" w:rsidRPr="000E0C38">
        <w:rPr>
          <w:rFonts w:ascii="Arial" w:eastAsia="SimSun" w:hAnsi="Arial" w:cs="Arial"/>
          <w:sz w:val="20"/>
          <w:szCs w:val="20"/>
          <w:lang w:eastAsia="zh-CN"/>
        </w:rPr>
        <w:t xml:space="preserve"> </w:t>
      </w:r>
      <w:r w:rsidR="005E1E88" w:rsidRPr="000E0C38">
        <w:rPr>
          <w:rFonts w:ascii="Arial" w:eastAsia="SimSun" w:hAnsi="Arial" w:cs="Arial"/>
          <w:sz w:val="20"/>
          <w:szCs w:val="20"/>
          <w:lang w:eastAsia="zh-CN"/>
        </w:rPr>
        <w:t xml:space="preserve">stakeholders </w:t>
      </w:r>
      <w:r w:rsidR="00531B46" w:rsidRPr="000E0C38">
        <w:rPr>
          <w:rFonts w:ascii="Arial" w:eastAsia="SimSun" w:hAnsi="Arial" w:cs="Arial"/>
          <w:sz w:val="20"/>
          <w:szCs w:val="20"/>
          <w:lang w:eastAsia="zh-CN"/>
        </w:rPr>
        <w:t>involved</w:t>
      </w:r>
      <w:r w:rsidR="008825FF" w:rsidRPr="000E0C38">
        <w:rPr>
          <w:rFonts w:ascii="Arial" w:eastAsia="SimSun" w:hAnsi="Arial" w:cs="Arial"/>
          <w:sz w:val="20"/>
          <w:szCs w:val="20"/>
          <w:lang w:eastAsia="zh-CN"/>
        </w:rPr>
        <w:t>.</w:t>
      </w:r>
    </w:p>
    <w:p w14:paraId="1786FCCD" w14:textId="4C73B3EB" w:rsidR="000A67A9" w:rsidRPr="000E0C38" w:rsidRDefault="000A67A9" w:rsidP="00432BEF">
      <w:pPr>
        <w:pStyle w:val="Caption"/>
        <w:keepNext/>
        <w:jc w:val="both"/>
        <w:rPr>
          <w:b/>
          <w:sz w:val="20"/>
        </w:rPr>
      </w:pPr>
      <w:r w:rsidRPr="000E0C38">
        <w:rPr>
          <w:b/>
          <w:sz w:val="20"/>
        </w:rPr>
        <w:t xml:space="preserve">Figure </w:t>
      </w:r>
      <w:r w:rsidRPr="000E0C38">
        <w:rPr>
          <w:b/>
          <w:sz w:val="20"/>
        </w:rPr>
        <w:fldChar w:fldCharType="begin"/>
      </w:r>
      <w:r w:rsidRPr="000E0C38">
        <w:rPr>
          <w:b/>
          <w:sz w:val="20"/>
        </w:rPr>
        <w:instrText xml:space="preserve"> SEQ Figure \* ARABIC </w:instrText>
      </w:r>
      <w:r w:rsidRPr="000E0C38">
        <w:rPr>
          <w:b/>
          <w:sz w:val="20"/>
        </w:rPr>
        <w:fldChar w:fldCharType="separate"/>
      </w:r>
      <w:r w:rsidR="001A6968" w:rsidRPr="000E0C38">
        <w:rPr>
          <w:b/>
          <w:sz w:val="20"/>
        </w:rPr>
        <w:t>3</w:t>
      </w:r>
      <w:r w:rsidRPr="000E0C38">
        <w:rPr>
          <w:b/>
          <w:sz w:val="20"/>
        </w:rPr>
        <w:fldChar w:fldCharType="end"/>
      </w:r>
      <w:r w:rsidRPr="000E0C38">
        <w:rPr>
          <w:b/>
          <w:sz w:val="20"/>
        </w:rPr>
        <w:t>: Simplified building construction sector value chain map</w:t>
      </w:r>
    </w:p>
    <w:p w14:paraId="76DB91EF" w14:textId="05E589A4" w:rsidR="00531B46" w:rsidRPr="000E0C38" w:rsidRDefault="000B7927" w:rsidP="00531B46">
      <w:pPr>
        <w:spacing w:line="276" w:lineRule="auto"/>
        <w:jc w:val="both"/>
        <w:rPr>
          <w:rFonts w:ascii="Arial" w:eastAsia="SimSun" w:hAnsi="Arial" w:cs="Arial"/>
          <w:b/>
          <w:sz w:val="20"/>
          <w:szCs w:val="20"/>
          <w:lang w:eastAsia="zh-CN"/>
        </w:rPr>
      </w:pPr>
      <w:r w:rsidRPr="000E0C38">
        <w:rPr>
          <w:rFonts w:ascii="Arial" w:eastAsia="SimSun" w:hAnsi="Arial" w:cs="Arial"/>
          <w:b/>
          <w:noProof/>
          <w:sz w:val="20"/>
          <w:szCs w:val="20"/>
          <w:lang w:eastAsia="en-GB"/>
        </w:rPr>
        <w:drawing>
          <wp:inline distT="0" distB="0" distL="0" distR="0" wp14:anchorId="5E5DE5F7" wp14:editId="59BDD95D">
            <wp:extent cx="6023610" cy="42983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3610" cy="4298315"/>
                    </a:xfrm>
                    <a:prstGeom prst="rect">
                      <a:avLst/>
                    </a:prstGeom>
                    <a:noFill/>
                  </pic:spPr>
                </pic:pic>
              </a:graphicData>
            </a:graphic>
          </wp:inline>
        </w:drawing>
      </w:r>
    </w:p>
    <w:p w14:paraId="607A63F3" w14:textId="77777777" w:rsidR="00531B46" w:rsidRPr="000E0C38" w:rsidRDefault="00531B46" w:rsidP="00531B46">
      <w:pPr>
        <w:spacing w:after="240"/>
        <w:jc w:val="both"/>
        <w:rPr>
          <w:rFonts w:ascii="Arial" w:eastAsia="SimSun" w:hAnsi="Arial" w:cs="Arial"/>
          <w:sz w:val="16"/>
          <w:szCs w:val="16"/>
          <w:lang w:eastAsia="zh-CN"/>
        </w:rPr>
      </w:pPr>
      <w:r w:rsidRPr="000E0C38">
        <w:rPr>
          <w:rFonts w:ascii="Arial" w:eastAsia="SimSun" w:hAnsi="Arial" w:cs="Arial"/>
          <w:sz w:val="16"/>
          <w:szCs w:val="16"/>
          <w:lang w:eastAsia="zh-CN"/>
        </w:rPr>
        <w:t>Source: ILO (2014). Red boxes indicate poor working conditions in value chain actors.</w:t>
      </w:r>
    </w:p>
    <w:p w14:paraId="5259514B" w14:textId="77777777" w:rsidR="00784861" w:rsidRPr="000E0C38" w:rsidRDefault="005E1E88" w:rsidP="00432BEF">
      <w:pPr>
        <w:spacing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The size of the construction supply chain and related industries (both backward and forward) is important because </w:t>
      </w:r>
      <w:r w:rsidR="00FB6257" w:rsidRPr="000E0C38">
        <w:rPr>
          <w:rFonts w:ascii="Arial" w:eastAsia="SimSun" w:hAnsi="Arial" w:cs="Arial"/>
          <w:sz w:val="20"/>
          <w:szCs w:val="20"/>
          <w:lang w:eastAsia="zh-CN"/>
        </w:rPr>
        <w:t xml:space="preserve">it demonstrates the broad </w:t>
      </w:r>
      <w:r w:rsidR="000D0B41" w:rsidRPr="000E0C38">
        <w:rPr>
          <w:rFonts w:ascii="Arial" w:eastAsia="SimSun" w:hAnsi="Arial" w:cs="Arial"/>
          <w:sz w:val="20"/>
          <w:szCs w:val="20"/>
          <w:lang w:eastAsia="zh-CN"/>
        </w:rPr>
        <w:t xml:space="preserve">sectoral </w:t>
      </w:r>
      <w:r w:rsidR="00FB6257" w:rsidRPr="000E0C38">
        <w:rPr>
          <w:rFonts w:ascii="Arial" w:eastAsia="SimSun" w:hAnsi="Arial" w:cs="Arial"/>
          <w:sz w:val="20"/>
          <w:szCs w:val="20"/>
          <w:lang w:eastAsia="zh-CN"/>
        </w:rPr>
        <w:t>scope to improve employment practices and maximise economic growth opportunities. Most of the labour opportunities associated with construction are indirect and happen through the manufacture of goods or the supply of ancillary services.</w:t>
      </w:r>
      <w:r w:rsidR="00784861" w:rsidRPr="000E0C38">
        <w:rPr>
          <w:rFonts w:ascii="Arial" w:eastAsia="SimSun" w:hAnsi="Arial" w:cs="Arial"/>
          <w:sz w:val="20"/>
          <w:szCs w:val="20"/>
          <w:lang w:eastAsia="zh-CN"/>
        </w:rPr>
        <w:t xml:space="preserve"> T</w:t>
      </w:r>
      <w:r w:rsidR="00FB6257" w:rsidRPr="000E0C38">
        <w:rPr>
          <w:rFonts w:ascii="Arial" w:eastAsia="SimSun" w:hAnsi="Arial" w:cs="Arial"/>
          <w:sz w:val="20"/>
          <w:szCs w:val="20"/>
          <w:lang w:eastAsia="zh-CN"/>
        </w:rPr>
        <w:t xml:space="preserve">hese sectors become </w:t>
      </w:r>
      <w:r w:rsidR="00784861" w:rsidRPr="000E0C38">
        <w:rPr>
          <w:rFonts w:ascii="Arial" w:eastAsia="SimSun" w:hAnsi="Arial" w:cs="Arial"/>
          <w:sz w:val="20"/>
          <w:szCs w:val="20"/>
          <w:lang w:eastAsia="zh-CN"/>
        </w:rPr>
        <w:t xml:space="preserve">even </w:t>
      </w:r>
      <w:r w:rsidR="00FB6257" w:rsidRPr="000E0C38">
        <w:rPr>
          <w:rFonts w:ascii="Arial" w:eastAsia="SimSun" w:hAnsi="Arial" w:cs="Arial"/>
          <w:sz w:val="20"/>
          <w:szCs w:val="20"/>
          <w:lang w:eastAsia="zh-CN"/>
        </w:rPr>
        <w:t>more important as construction methods shift towards pre-fabrication and supply chains become more integrated.</w:t>
      </w:r>
      <w:r w:rsidR="00784861" w:rsidRPr="000E0C38">
        <w:rPr>
          <w:rFonts w:ascii="Arial" w:eastAsia="SimSun" w:hAnsi="Arial" w:cs="Arial"/>
          <w:sz w:val="20"/>
          <w:szCs w:val="20"/>
          <w:lang w:eastAsia="zh-CN"/>
        </w:rPr>
        <w:t xml:space="preserve"> </w:t>
      </w:r>
      <w:r w:rsidR="00FB6257" w:rsidRPr="000E0C38">
        <w:rPr>
          <w:rFonts w:ascii="Arial" w:eastAsia="SimSun" w:hAnsi="Arial" w:cs="Arial"/>
          <w:sz w:val="20"/>
          <w:szCs w:val="20"/>
          <w:lang w:eastAsia="zh-CN"/>
        </w:rPr>
        <w:t>Supply chain interventions are therefore likely to be more effective than direct construction interventions in improving the quantity and quality of emplo</w:t>
      </w:r>
      <w:r w:rsidR="00784861" w:rsidRPr="000E0C38">
        <w:rPr>
          <w:rFonts w:ascii="Arial" w:eastAsia="SimSun" w:hAnsi="Arial" w:cs="Arial"/>
          <w:sz w:val="20"/>
          <w:szCs w:val="20"/>
          <w:lang w:eastAsia="zh-CN"/>
        </w:rPr>
        <w:t xml:space="preserve">yment in a sustainable manner. </w:t>
      </w:r>
      <w:r w:rsidR="00FB6257" w:rsidRPr="000E0C38">
        <w:rPr>
          <w:rFonts w:ascii="Arial" w:eastAsia="SimSun" w:hAnsi="Arial" w:cs="Arial"/>
          <w:sz w:val="20"/>
          <w:szCs w:val="20"/>
          <w:lang w:eastAsia="zh-CN"/>
        </w:rPr>
        <w:t>These issues are discussed in more detail in Chapter 4.</w:t>
      </w:r>
    </w:p>
    <w:p w14:paraId="4790994A" w14:textId="77777777" w:rsidR="008632F2" w:rsidRPr="000E0C38" w:rsidRDefault="00CA7014" w:rsidP="00784861">
      <w:pPr>
        <w:pStyle w:val="Heading1NoSpacing"/>
        <w:framePr w:h="1621" w:hRule="exact" w:wrap="auto"/>
        <w:rPr>
          <w:lang w:eastAsia="zh-CN"/>
        </w:rPr>
      </w:pPr>
      <w:bookmarkStart w:id="14" w:name="_Toc492000452"/>
      <w:bookmarkStart w:id="15" w:name="_Toc498019390"/>
      <w:r w:rsidRPr="000E0C38">
        <w:rPr>
          <w:lang w:eastAsia="zh-CN"/>
        </w:rPr>
        <w:lastRenderedPageBreak/>
        <w:t xml:space="preserve">2 </w:t>
      </w:r>
      <w:r w:rsidR="008632F2" w:rsidRPr="000E0C38">
        <w:rPr>
          <w:lang w:eastAsia="zh-CN"/>
        </w:rPr>
        <w:t>What is the nature of construction industry employment in DFID focus countries</w:t>
      </w:r>
      <w:bookmarkEnd w:id="14"/>
      <w:r w:rsidR="008632F2" w:rsidRPr="000E0C38">
        <w:rPr>
          <w:lang w:eastAsia="zh-CN"/>
        </w:rPr>
        <w:t>?</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1EE" w:themeFill="text2" w:themeFillTint="33"/>
        <w:tblLook w:val="04A0" w:firstRow="1" w:lastRow="0" w:firstColumn="1" w:lastColumn="0" w:noHBand="0" w:noVBand="1"/>
      </w:tblPr>
      <w:tblGrid>
        <w:gridCol w:w="9497"/>
      </w:tblGrid>
      <w:tr w:rsidR="004320CA" w:rsidRPr="000E0C38" w14:paraId="743947B8" w14:textId="77777777" w:rsidTr="004320CA">
        <w:tc>
          <w:tcPr>
            <w:tcW w:w="9713" w:type="dxa"/>
            <w:shd w:val="clear" w:color="auto" w:fill="CBD1EE" w:themeFill="text2" w:themeFillTint="33"/>
          </w:tcPr>
          <w:p w14:paraId="47582E9C" w14:textId="7F7DE7FE" w:rsidR="004320CA" w:rsidRPr="000E0C38" w:rsidRDefault="004320CA" w:rsidP="00432BEF">
            <w:pPr>
              <w:pStyle w:val="BodyText"/>
              <w:spacing w:before="40" w:after="120"/>
              <w:rPr>
                <w:rFonts w:ascii="Times New Roman" w:hAnsi="Times New Roman" w:cs="Times New Roman"/>
                <w:b/>
                <w:i/>
                <w:sz w:val="28"/>
                <w:lang w:eastAsia="zh-CN"/>
              </w:rPr>
            </w:pPr>
            <w:r w:rsidRPr="000E0C38">
              <w:rPr>
                <w:rFonts w:ascii="Times New Roman" w:hAnsi="Times New Roman" w:cs="Times New Roman"/>
                <w:b/>
                <w:i/>
                <w:sz w:val="28"/>
                <w:lang w:eastAsia="zh-CN"/>
              </w:rPr>
              <w:t>Key Findings</w:t>
            </w:r>
          </w:p>
          <w:p w14:paraId="7033D61C" w14:textId="07750ECF" w:rsidR="004320CA" w:rsidRPr="000E0C38" w:rsidRDefault="004320CA" w:rsidP="00831B36">
            <w:pPr>
              <w:pStyle w:val="BodyText"/>
              <w:numPr>
                <w:ilvl w:val="0"/>
                <w:numId w:val="29"/>
              </w:numPr>
              <w:spacing w:after="0"/>
            </w:pPr>
            <w:r w:rsidRPr="000E0C38">
              <w:t>In many DFID countries of focus, the construction sector has witnessed the proliferation of non-standard forms of employment, including part-time, casual and temporary contracts.  While these employment arrangements may assist with the industry’s flexibility and growth, they sometimes provide either inadequate or no social protection for workers.</w:t>
            </w:r>
          </w:p>
          <w:p w14:paraId="1132DDE7" w14:textId="0FA9E0B8" w:rsidR="004320CA" w:rsidRPr="000E0C38" w:rsidRDefault="004320CA" w:rsidP="00831B36">
            <w:pPr>
              <w:pStyle w:val="BodyText"/>
              <w:numPr>
                <w:ilvl w:val="0"/>
                <w:numId w:val="29"/>
              </w:numPr>
              <w:spacing w:after="0"/>
            </w:pPr>
            <w:r w:rsidRPr="000E0C38">
              <w:t>There are large differences in informality rates among these countries, but informality is generally high. DFID interventions promoting formalisation could focus on countries with highest informalities first.</w:t>
            </w:r>
          </w:p>
          <w:p w14:paraId="5ED10DE9" w14:textId="77777777" w:rsidR="004320CA" w:rsidRPr="000E0C38" w:rsidRDefault="004320CA" w:rsidP="00831B36">
            <w:pPr>
              <w:pStyle w:val="BodyText"/>
              <w:numPr>
                <w:ilvl w:val="0"/>
                <w:numId w:val="29"/>
              </w:numPr>
              <w:spacing w:after="0"/>
            </w:pPr>
            <w:r w:rsidRPr="000E0C38">
              <w:t>Migrants – both temporary and long term – constitute an important component of the workforce in the construction industry. Contrary to other sectors with high foreign participation such as the health care sector, the construction sector relies on migrant labour often due to its seasonal and project-based nature, as well as its distinct spatial characteristics.</w:t>
            </w:r>
          </w:p>
          <w:p w14:paraId="721EB5E6" w14:textId="150F9BAF" w:rsidR="004320CA" w:rsidRPr="000E0C38" w:rsidRDefault="004320CA" w:rsidP="00831B36">
            <w:pPr>
              <w:pStyle w:val="BodyText"/>
              <w:numPr>
                <w:ilvl w:val="0"/>
                <w:numId w:val="29"/>
              </w:numPr>
              <w:spacing w:after="0"/>
            </w:pPr>
            <w:r w:rsidRPr="000E0C38">
              <w:t xml:space="preserve">The fundamentally hazardous nature of the work, changing locations of construction sites and work environments, and high rates of staff turnover make construction the most dangerous sector. </w:t>
            </w:r>
          </w:p>
          <w:p w14:paraId="77CE4860" w14:textId="426BF838" w:rsidR="004320CA" w:rsidRPr="000E0C38" w:rsidRDefault="004320CA" w:rsidP="00831B36">
            <w:pPr>
              <w:pStyle w:val="BodyText"/>
              <w:numPr>
                <w:ilvl w:val="0"/>
                <w:numId w:val="29"/>
              </w:numPr>
              <w:spacing w:after="0"/>
            </w:pPr>
            <w:r w:rsidRPr="000E0C38">
              <w:t>Participation of women in construction sector employment is lower than in many other sectors across DFID’s focus countries. In some DFID countries, women and other marginalised groups perform the most strenuous, dirtiest and physically demanding of tasks, in an already harsh work environment.</w:t>
            </w:r>
          </w:p>
          <w:p w14:paraId="1B78614B" w14:textId="66FB6C0E" w:rsidR="004320CA" w:rsidRPr="000E0C38" w:rsidRDefault="004320CA" w:rsidP="00831B36">
            <w:pPr>
              <w:pStyle w:val="BodyText"/>
              <w:numPr>
                <w:ilvl w:val="0"/>
                <w:numId w:val="29"/>
              </w:numPr>
              <w:spacing w:after="120"/>
            </w:pPr>
            <w:r w:rsidRPr="000E0C38">
              <w:t>Skills gaps in developing countries vary from country to country, due to different technological patterns and employment structures. The higher the technical requirements, the more important it is to have qualified workers.</w:t>
            </w:r>
          </w:p>
        </w:tc>
      </w:tr>
    </w:tbl>
    <w:p w14:paraId="3588EDF6" w14:textId="77777777" w:rsidR="00095C14" w:rsidRPr="000E0C38" w:rsidRDefault="008632F2" w:rsidP="00432BEF">
      <w:pPr>
        <w:spacing w:before="120"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This </w:t>
      </w:r>
      <w:r w:rsidR="00784861" w:rsidRPr="000E0C38">
        <w:rPr>
          <w:rFonts w:ascii="Arial" w:eastAsia="SimSun" w:hAnsi="Arial" w:cs="Arial"/>
          <w:sz w:val="20"/>
          <w:szCs w:val="20"/>
          <w:lang w:eastAsia="zh-CN"/>
        </w:rPr>
        <w:t>chapter</w:t>
      </w:r>
      <w:r w:rsidRPr="000E0C38">
        <w:rPr>
          <w:rFonts w:ascii="Arial" w:eastAsia="SimSun" w:hAnsi="Arial" w:cs="Arial"/>
          <w:sz w:val="20"/>
          <w:szCs w:val="20"/>
          <w:lang w:eastAsia="zh-CN"/>
        </w:rPr>
        <w:t xml:space="preserve"> explains the </w:t>
      </w:r>
      <w:r w:rsidR="0091392E" w:rsidRPr="000E0C38">
        <w:rPr>
          <w:rFonts w:ascii="Arial" w:eastAsia="SimSun" w:hAnsi="Arial" w:cs="Arial"/>
          <w:sz w:val="20"/>
          <w:szCs w:val="20"/>
          <w:lang w:eastAsia="zh-CN"/>
        </w:rPr>
        <w:t>nature of construction sector employment</w:t>
      </w:r>
      <w:r w:rsidRPr="000E0C38">
        <w:rPr>
          <w:rFonts w:ascii="Arial" w:eastAsia="SimSun" w:hAnsi="Arial" w:cs="Arial"/>
          <w:sz w:val="20"/>
          <w:szCs w:val="20"/>
          <w:lang w:eastAsia="zh-CN"/>
        </w:rPr>
        <w:t xml:space="preserve"> in DFID countries of focus</w:t>
      </w:r>
      <w:r w:rsidR="0091392E"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w:t>
      </w:r>
      <w:r w:rsidR="00010ECD" w:rsidRPr="000E0C38">
        <w:rPr>
          <w:rFonts w:ascii="Arial" w:eastAsia="SimSun" w:hAnsi="Arial" w:cs="Arial"/>
          <w:sz w:val="20"/>
          <w:szCs w:val="20"/>
          <w:lang w:eastAsia="zh-CN"/>
        </w:rPr>
        <w:t xml:space="preserve">It portrays a </w:t>
      </w:r>
      <w:r w:rsidR="002E3E94" w:rsidRPr="000E0C38">
        <w:rPr>
          <w:rFonts w:ascii="Arial" w:eastAsia="SimSun" w:hAnsi="Arial" w:cs="Arial"/>
          <w:sz w:val="20"/>
          <w:szCs w:val="20"/>
          <w:lang w:eastAsia="zh-CN"/>
        </w:rPr>
        <w:t>fast-changing</w:t>
      </w:r>
      <w:r w:rsidR="00010ECD" w:rsidRPr="000E0C38">
        <w:rPr>
          <w:rFonts w:ascii="Arial" w:eastAsia="SimSun" w:hAnsi="Arial" w:cs="Arial"/>
          <w:sz w:val="20"/>
          <w:szCs w:val="20"/>
          <w:lang w:eastAsia="zh-CN"/>
        </w:rPr>
        <w:t xml:space="preserve"> industry driven </w:t>
      </w:r>
      <w:r w:rsidR="00784861" w:rsidRPr="000E0C38">
        <w:rPr>
          <w:rFonts w:ascii="Arial" w:eastAsia="SimSun" w:hAnsi="Arial" w:cs="Arial"/>
          <w:sz w:val="20"/>
          <w:szCs w:val="20"/>
          <w:lang w:eastAsia="zh-CN"/>
        </w:rPr>
        <w:t>by increases in the number of large, complex</w:t>
      </w:r>
      <w:r w:rsidR="00010ECD" w:rsidRPr="000E0C38">
        <w:rPr>
          <w:rFonts w:ascii="Arial" w:eastAsia="SimSun" w:hAnsi="Arial" w:cs="Arial"/>
          <w:sz w:val="20"/>
          <w:szCs w:val="20"/>
          <w:lang w:eastAsia="zh-CN"/>
        </w:rPr>
        <w:t xml:space="preserve"> construction projects requiring </w:t>
      </w:r>
      <w:r w:rsidR="00784861" w:rsidRPr="000E0C38">
        <w:rPr>
          <w:rFonts w:ascii="Arial" w:eastAsia="SimSun" w:hAnsi="Arial" w:cs="Arial"/>
          <w:sz w:val="20"/>
          <w:szCs w:val="20"/>
          <w:lang w:eastAsia="zh-CN"/>
        </w:rPr>
        <w:t xml:space="preserve">high levels of </w:t>
      </w:r>
      <w:r w:rsidR="00010ECD" w:rsidRPr="000E0C38">
        <w:rPr>
          <w:rFonts w:ascii="Arial" w:eastAsia="SimSun" w:hAnsi="Arial" w:cs="Arial"/>
          <w:sz w:val="20"/>
          <w:szCs w:val="20"/>
          <w:lang w:eastAsia="zh-CN"/>
        </w:rPr>
        <w:t xml:space="preserve">expertise and coordination, and use of subcontractors. </w:t>
      </w:r>
      <w:r w:rsidR="00095C14" w:rsidRPr="000E0C38">
        <w:rPr>
          <w:rFonts w:ascii="Arial" w:eastAsia="SimSun" w:hAnsi="Arial" w:cs="Arial"/>
          <w:sz w:val="20"/>
          <w:szCs w:val="20"/>
          <w:lang w:eastAsia="zh-CN"/>
        </w:rPr>
        <w:t>The practice of employing labour through subcontractors (often referred to as the "outsourcing" of labour) is both long established and widespread in the construction industries of developing countries</w:t>
      </w:r>
      <w:r w:rsidR="00784861" w:rsidRPr="000E0C38">
        <w:rPr>
          <w:rFonts w:ascii="Arial" w:eastAsia="SimSun" w:hAnsi="Arial" w:cs="Arial"/>
          <w:sz w:val="20"/>
          <w:szCs w:val="20"/>
          <w:lang w:eastAsia="zh-CN"/>
        </w:rPr>
        <w:t>, and the prevalence of subcontracting is increasing</w:t>
      </w:r>
      <w:r w:rsidR="00095C14" w:rsidRPr="000E0C38">
        <w:rPr>
          <w:rFonts w:ascii="Arial" w:eastAsia="SimSun" w:hAnsi="Arial" w:cs="Arial"/>
          <w:sz w:val="20"/>
          <w:szCs w:val="20"/>
          <w:lang w:eastAsia="zh-CN"/>
        </w:rPr>
        <w:t>.</w:t>
      </w:r>
      <w:r w:rsidR="00095C14" w:rsidRPr="000E0C38">
        <w:rPr>
          <w:rStyle w:val="FootnoteReference"/>
          <w:rFonts w:ascii="Arial" w:eastAsia="SimSun" w:hAnsi="Arial" w:cs="Arial"/>
          <w:sz w:val="20"/>
          <w:szCs w:val="20"/>
          <w:lang w:eastAsia="zh-CN"/>
        </w:rPr>
        <w:footnoteReference w:id="26"/>
      </w:r>
      <w:r w:rsidR="00095C14" w:rsidRPr="000E0C38">
        <w:rPr>
          <w:rFonts w:ascii="Arial" w:eastAsia="SimSun" w:hAnsi="Arial" w:cs="Arial"/>
          <w:sz w:val="20"/>
          <w:szCs w:val="20"/>
          <w:lang w:eastAsia="zh-CN"/>
        </w:rPr>
        <w:t xml:space="preserve"> </w:t>
      </w:r>
    </w:p>
    <w:p w14:paraId="611DBE99" w14:textId="77777777" w:rsidR="009E64CA" w:rsidRPr="000E0C38" w:rsidRDefault="00784861"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The chapter</w:t>
      </w:r>
      <w:r w:rsidR="0091392E" w:rsidRPr="000E0C38">
        <w:rPr>
          <w:rFonts w:ascii="Arial" w:eastAsia="SimSun" w:hAnsi="Arial" w:cs="Arial"/>
          <w:sz w:val="20"/>
          <w:szCs w:val="20"/>
          <w:lang w:eastAsia="zh-CN"/>
        </w:rPr>
        <w:t xml:space="preserve"> focuses on </w:t>
      </w:r>
      <w:r w:rsidR="00547CF3" w:rsidRPr="000E0C38">
        <w:rPr>
          <w:rFonts w:ascii="Arial" w:eastAsia="SimSun" w:hAnsi="Arial" w:cs="Arial"/>
          <w:sz w:val="20"/>
          <w:szCs w:val="20"/>
          <w:lang w:eastAsia="zh-CN"/>
        </w:rPr>
        <w:t>s</w:t>
      </w:r>
      <w:r w:rsidRPr="000E0C38">
        <w:rPr>
          <w:rFonts w:ascii="Arial" w:eastAsia="SimSun" w:hAnsi="Arial" w:cs="Arial"/>
          <w:sz w:val="20"/>
          <w:szCs w:val="20"/>
          <w:lang w:eastAsia="zh-CN"/>
        </w:rPr>
        <w:t>even</w:t>
      </w:r>
      <w:r w:rsidR="00547CF3"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 xml:space="preserve">specific </w:t>
      </w:r>
      <w:r w:rsidR="0091392E" w:rsidRPr="000E0C38">
        <w:rPr>
          <w:rFonts w:ascii="Arial" w:eastAsia="SimSun" w:hAnsi="Arial" w:cs="Arial"/>
          <w:sz w:val="20"/>
          <w:szCs w:val="20"/>
          <w:lang w:eastAsia="zh-CN"/>
        </w:rPr>
        <w:t>elements</w:t>
      </w:r>
      <w:r w:rsidR="00F34151"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of construction sector employment</w:t>
      </w:r>
      <w:r w:rsidR="00547CF3" w:rsidRPr="000E0C38">
        <w:rPr>
          <w:rFonts w:ascii="Arial" w:eastAsia="SimSun" w:hAnsi="Arial" w:cs="Arial"/>
          <w:sz w:val="20"/>
          <w:szCs w:val="20"/>
          <w:lang w:eastAsia="zh-CN"/>
        </w:rPr>
        <w:t xml:space="preserve"> in DFID countries</w:t>
      </w:r>
      <w:r w:rsidR="008632F2" w:rsidRPr="000E0C38">
        <w:rPr>
          <w:rFonts w:ascii="Arial" w:eastAsia="SimSun" w:hAnsi="Arial" w:cs="Arial"/>
          <w:sz w:val="20"/>
          <w:szCs w:val="20"/>
          <w:lang w:eastAsia="zh-CN"/>
        </w:rPr>
        <w:t>:</w:t>
      </w:r>
    </w:p>
    <w:p w14:paraId="4D25D151" w14:textId="77777777" w:rsidR="001449D3" w:rsidRPr="000E0C38" w:rsidRDefault="001449D3" w:rsidP="00831B36">
      <w:pPr>
        <w:pStyle w:val="ListParagraph"/>
        <w:numPr>
          <w:ilvl w:val="0"/>
          <w:numId w:val="19"/>
        </w:numPr>
        <w:spacing w:after="0"/>
        <w:ind w:left="425" w:hanging="425"/>
        <w:contextualSpacing w:val="0"/>
        <w:rPr>
          <w:rFonts w:ascii="Arial" w:eastAsia="SimSun" w:hAnsi="Arial" w:cs="Arial"/>
          <w:sz w:val="20"/>
          <w:szCs w:val="20"/>
        </w:rPr>
      </w:pPr>
      <w:r w:rsidRPr="000E0C38">
        <w:rPr>
          <w:rFonts w:ascii="Arial" w:eastAsia="SimSun" w:hAnsi="Arial" w:cs="Arial"/>
          <w:sz w:val="20"/>
          <w:szCs w:val="20"/>
        </w:rPr>
        <w:t>Informality and non-standard forms of employment.</w:t>
      </w:r>
    </w:p>
    <w:p w14:paraId="3EDBF32F" w14:textId="77777777" w:rsidR="001D319E" w:rsidRPr="000E0C38" w:rsidRDefault="001D319E" w:rsidP="00831B36">
      <w:pPr>
        <w:pStyle w:val="ListParagraph"/>
        <w:numPr>
          <w:ilvl w:val="0"/>
          <w:numId w:val="19"/>
        </w:numPr>
        <w:spacing w:after="0"/>
        <w:ind w:left="425" w:hanging="425"/>
        <w:contextualSpacing w:val="0"/>
        <w:rPr>
          <w:rFonts w:ascii="Arial" w:eastAsia="SimSun" w:hAnsi="Arial" w:cs="Arial"/>
          <w:sz w:val="20"/>
          <w:szCs w:val="20"/>
        </w:rPr>
      </w:pPr>
      <w:r w:rsidRPr="000E0C38">
        <w:rPr>
          <w:rFonts w:ascii="Arial" w:eastAsia="SimSun" w:hAnsi="Arial" w:cs="Arial"/>
          <w:sz w:val="20"/>
          <w:szCs w:val="20"/>
        </w:rPr>
        <w:t>Incidence of foreign contractors and presence of labour migrants in civil works.</w:t>
      </w:r>
    </w:p>
    <w:p w14:paraId="170D14FD" w14:textId="77777777" w:rsidR="009E64CA" w:rsidRPr="000E0C38" w:rsidRDefault="001D319E" w:rsidP="00831B36">
      <w:pPr>
        <w:pStyle w:val="ListParagraph"/>
        <w:numPr>
          <w:ilvl w:val="0"/>
          <w:numId w:val="19"/>
        </w:numPr>
        <w:spacing w:after="0"/>
        <w:ind w:left="425" w:hanging="425"/>
        <w:contextualSpacing w:val="0"/>
        <w:rPr>
          <w:rFonts w:ascii="Arial" w:eastAsia="SimSun" w:hAnsi="Arial" w:cs="Arial"/>
          <w:sz w:val="20"/>
          <w:szCs w:val="20"/>
        </w:rPr>
      </w:pPr>
      <w:r w:rsidRPr="000E0C38">
        <w:rPr>
          <w:rFonts w:ascii="Arial" w:eastAsia="SimSun" w:hAnsi="Arial" w:cs="Arial"/>
          <w:sz w:val="20"/>
          <w:szCs w:val="20"/>
        </w:rPr>
        <w:t>Occupational health and safety conditions</w:t>
      </w:r>
      <w:r w:rsidR="008C3D58" w:rsidRPr="000E0C38">
        <w:rPr>
          <w:rFonts w:ascii="Arial" w:eastAsia="SimSun" w:hAnsi="Arial" w:cs="Arial"/>
          <w:sz w:val="20"/>
          <w:szCs w:val="20"/>
        </w:rPr>
        <w:t>.</w:t>
      </w:r>
    </w:p>
    <w:p w14:paraId="6BEAE940" w14:textId="77777777" w:rsidR="00A72B87" w:rsidRPr="000E0C38" w:rsidRDefault="00A72B87" w:rsidP="00831B36">
      <w:pPr>
        <w:pStyle w:val="ListParagraph"/>
        <w:numPr>
          <w:ilvl w:val="0"/>
          <w:numId w:val="19"/>
        </w:numPr>
        <w:spacing w:after="0"/>
        <w:ind w:left="425" w:hanging="425"/>
        <w:contextualSpacing w:val="0"/>
        <w:rPr>
          <w:rFonts w:ascii="Arial" w:eastAsia="SimSun" w:hAnsi="Arial" w:cs="Arial"/>
          <w:sz w:val="20"/>
          <w:szCs w:val="20"/>
        </w:rPr>
      </w:pPr>
      <w:r w:rsidRPr="000E0C38">
        <w:rPr>
          <w:rFonts w:ascii="Arial" w:eastAsia="SimSun" w:hAnsi="Arial" w:cs="Arial"/>
          <w:sz w:val="20"/>
          <w:szCs w:val="20"/>
        </w:rPr>
        <w:t>Working conditions for women in the construction sector.</w:t>
      </w:r>
    </w:p>
    <w:p w14:paraId="2E03370F" w14:textId="77777777" w:rsidR="009E64CA" w:rsidRPr="000E0C38" w:rsidRDefault="00257ED4" w:rsidP="00831B36">
      <w:pPr>
        <w:pStyle w:val="ListParagraph"/>
        <w:numPr>
          <w:ilvl w:val="0"/>
          <w:numId w:val="19"/>
        </w:numPr>
        <w:spacing w:after="0"/>
        <w:ind w:left="425" w:hanging="425"/>
        <w:contextualSpacing w:val="0"/>
        <w:rPr>
          <w:rFonts w:ascii="Arial" w:eastAsia="SimSun" w:hAnsi="Arial" w:cs="Arial"/>
          <w:sz w:val="20"/>
          <w:szCs w:val="20"/>
        </w:rPr>
      </w:pPr>
      <w:r w:rsidRPr="000E0C38">
        <w:rPr>
          <w:rFonts w:ascii="Arial" w:eastAsia="SimSun" w:hAnsi="Arial" w:cs="Arial"/>
          <w:sz w:val="20"/>
          <w:szCs w:val="20"/>
        </w:rPr>
        <w:t>P</w:t>
      </w:r>
      <w:r w:rsidR="0091392E" w:rsidRPr="000E0C38">
        <w:rPr>
          <w:rFonts w:ascii="Arial" w:eastAsia="SimSun" w:hAnsi="Arial" w:cs="Arial"/>
          <w:sz w:val="20"/>
          <w:szCs w:val="20"/>
        </w:rPr>
        <w:t xml:space="preserve">resence of child and </w:t>
      </w:r>
      <w:r w:rsidRPr="000E0C38">
        <w:rPr>
          <w:rFonts w:ascii="Arial" w:eastAsia="SimSun" w:hAnsi="Arial" w:cs="Arial"/>
          <w:sz w:val="20"/>
          <w:szCs w:val="20"/>
        </w:rPr>
        <w:t>forced</w:t>
      </w:r>
      <w:r w:rsidR="0091392E" w:rsidRPr="000E0C38">
        <w:rPr>
          <w:rFonts w:ascii="Arial" w:eastAsia="SimSun" w:hAnsi="Arial" w:cs="Arial"/>
          <w:sz w:val="20"/>
          <w:szCs w:val="20"/>
        </w:rPr>
        <w:t xml:space="preserve"> labour in construction supply chains</w:t>
      </w:r>
      <w:r w:rsidRPr="000E0C38">
        <w:rPr>
          <w:rFonts w:ascii="Arial" w:eastAsia="SimSun" w:hAnsi="Arial" w:cs="Arial"/>
          <w:sz w:val="20"/>
          <w:szCs w:val="20"/>
        </w:rPr>
        <w:t>.</w:t>
      </w:r>
    </w:p>
    <w:p w14:paraId="4C640933" w14:textId="77777777" w:rsidR="009E64CA" w:rsidRPr="000E0C38" w:rsidRDefault="00C11E5F" w:rsidP="00831B36">
      <w:pPr>
        <w:pStyle w:val="ListParagraph"/>
        <w:numPr>
          <w:ilvl w:val="0"/>
          <w:numId w:val="19"/>
        </w:numPr>
        <w:spacing w:after="0"/>
        <w:ind w:left="425" w:hanging="425"/>
        <w:contextualSpacing w:val="0"/>
        <w:rPr>
          <w:rFonts w:ascii="Arial" w:eastAsia="SimSun" w:hAnsi="Arial" w:cs="Arial"/>
          <w:sz w:val="20"/>
          <w:szCs w:val="20"/>
        </w:rPr>
      </w:pPr>
      <w:r w:rsidRPr="000E0C38">
        <w:rPr>
          <w:rFonts w:ascii="Arial" w:eastAsia="SimSun" w:hAnsi="Arial" w:cs="Arial"/>
          <w:sz w:val="20"/>
          <w:szCs w:val="20"/>
        </w:rPr>
        <w:t>Skills and education levels.</w:t>
      </w:r>
    </w:p>
    <w:p w14:paraId="34C1BFB2" w14:textId="77777777" w:rsidR="009E64CA" w:rsidRPr="000E0C38" w:rsidRDefault="00C11E5F" w:rsidP="00831B36">
      <w:pPr>
        <w:pStyle w:val="ListParagraph"/>
        <w:numPr>
          <w:ilvl w:val="0"/>
          <w:numId w:val="19"/>
        </w:numPr>
        <w:spacing w:after="120"/>
        <w:ind w:left="425" w:hanging="425"/>
        <w:contextualSpacing w:val="0"/>
        <w:rPr>
          <w:rFonts w:ascii="Arial" w:eastAsia="SimSun" w:hAnsi="Arial" w:cs="Arial"/>
          <w:sz w:val="20"/>
          <w:szCs w:val="20"/>
        </w:rPr>
      </w:pPr>
      <w:r w:rsidRPr="000E0C38">
        <w:rPr>
          <w:rFonts w:ascii="Arial" w:eastAsia="SimSun" w:hAnsi="Arial" w:cs="Arial"/>
          <w:sz w:val="20"/>
          <w:szCs w:val="20"/>
        </w:rPr>
        <w:t>Collective bargaining and union density.</w:t>
      </w:r>
    </w:p>
    <w:p w14:paraId="07E3E529" w14:textId="77777777" w:rsidR="003A6064" w:rsidRPr="000E0C38" w:rsidRDefault="003A6064" w:rsidP="00EE5618">
      <w:pPr>
        <w:pStyle w:val="Heading2"/>
        <w:spacing w:before="0" w:after="120"/>
        <w:rPr>
          <w:lang w:eastAsia="zh-CN"/>
        </w:rPr>
      </w:pPr>
      <w:bookmarkStart w:id="16" w:name="_Toc498019391"/>
      <w:r w:rsidRPr="000E0C38">
        <w:rPr>
          <w:lang w:eastAsia="zh-CN"/>
        </w:rPr>
        <w:t>2.1 Informality and non-standard forms of employment</w:t>
      </w:r>
      <w:bookmarkEnd w:id="16"/>
    </w:p>
    <w:p w14:paraId="0B762281" w14:textId="3AF80D4C" w:rsidR="00363811" w:rsidRPr="000E0C38" w:rsidRDefault="003A6064"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In</w:t>
      </w:r>
      <w:r w:rsidR="006E1A3F" w:rsidRPr="000E0C38">
        <w:rPr>
          <w:rFonts w:ascii="Arial" w:eastAsia="SimSun" w:hAnsi="Arial" w:cs="Arial"/>
          <w:sz w:val="20"/>
          <w:szCs w:val="20"/>
          <w:lang w:eastAsia="zh-CN"/>
        </w:rPr>
        <w:t xml:space="preserve"> many</w:t>
      </w:r>
      <w:r w:rsidRPr="000E0C38">
        <w:rPr>
          <w:rFonts w:ascii="Arial" w:eastAsia="SimSun" w:hAnsi="Arial" w:cs="Arial"/>
          <w:sz w:val="20"/>
          <w:szCs w:val="20"/>
          <w:lang w:eastAsia="zh-CN"/>
        </w:rPr>
        <w:t xml:space="preserve"> DFID countries of focus, the construction </w:t>
      </w:r>
      <w:r w:rsidR="006E1A3F" w:rsidRPr="000E0C38">
        <w:rPr>
          <w:rFonts w:ascii="Arial" w:eastAsia="SimSun" w:hAnsi="Arial" w:cs="Arial"/>
          <w:sz w:val="20"/>
          <w:szCs w:val="20"/>
          <w:lang w:eastAsia="zh-CN"/>
        </w:rPr>
        <w:t xml:space="preserve">sector has </w:t>
      </w:r>
      <w:r w:rsidR="00AD09C3" w:rsidRPr="000E0C38">
        <w:rPr>
          <w:rFonts w:ascii="Arial" w:eastAsia="SimSun" w:hAnsi="Arial" w:cs="Arial"/>
          <w:sz w:val="20"/>
          <w:szCs w:val="20"/>
          <w:lang w:eastAsia="zh-CN"/>
        </w:rPr>
        <w:t>witnessed</w:t>
      </w:r>
      <w:r w:rsidR="006E1A3F"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the proliferation of non-standard forms of employment, including part-time, casual and temporary contracts.</w:t>
      </w:r>
      <w:r w:rsidRPr="000E0C38">
        <w:rPr>
          <w:rFonts w:ascii="Arial" w:eastAsia="SimSun" w:hAnsi="Arial" w:cs="Arial"/>
          <w:sz w:val="20"/>
          <w:szCs w:val="20"/>
          <w:vertAlign w:val="superscript"/>
          <w:lang w:eastAsia="zh-CN"/>
        </w:rPr>
        <w:footnoteReference w:id="27"/>
      </w:r>
      <w:r w:rsidRPr="000E0C38">
        <w:rPr>
          <w:rFonts w:ascii="Arial" w:eastAsia="SimSun" w:hAnsi="Arial" w:cs="Arial"/>
          <w:sz w:val="20"/>
          <w:szCs w:val="20"/>
          <w:lang w:eastAsia="zh-CN"/>
        </w:rPr>
        <w:t xml:space="preserve"> While these employment arrangements may assist with the industry’s </w:t>
      </w:r>
      <w:r w:rsidR="006E1A3F" w:rsidRPr="000E0C38">
        <w:rPr>
          <w:rFonts w:ascii="Arial" w:eastAsia="SimSun" w:hAnsi="Arial" w:cs="Arial"/>
          <w:sz w:val="20"/>
          <w:szCs w:val="20"/>
          <w:lang w:eastAsia="zh-CN"/>
        </w:rPr>
        <w:t>flexibility</w:t>
      </w:r>
      <w:r w:rsidRPr="000E0C38">
        <w:rPr>
          <w:rFonts w:ascii="Arial" w:eastAsia="SimSun" w:hAnsi="Arial" w:cs="Arial"/>
          <w:sz w:val="20"/>
          <w:szCs w:val="20"/>
          <w:lang w:eastAsia="zh-CN"/>
        </w:rPr>
        <w:t xml:space="preserve"> and growth, they sometimes provide either inadequate </w:t>
      </w:r>
      <w:r w:rsidRPr="000E0C38">
        <w:rPr>
          <w:rFonts w:ascii="Arial" w:eastAsia="SimSun" w:hAnsi="Arial" w:cs="Arial"/>
          <w:sz w:val="20"/>
          <w:szCs w:val="20"/>
          <w:lang w:eastAsia="zh-CN"/>
        </w:rPr>
        <w:lastRenderedPageBreak/>
        <w:t>or no social protection for workers.</w:t>
      </w:r>
      <w:r w:rsidR="00886B87" w:rsidRPr="000E0C38">
        <w:rPr>
          <w:rFonts w:ascii="Arial" w:eastAsia="SimSun" w:hAnsi="Arial" w:cs="Arial"/>
          <w:sz w:val="20"/>
          <w:szCs w:val="20"/>
          <w:lang w:eastAsia="zh-CN"/>
        </w:rPr>
        <w:t xml:space="preserve"> Key issues include who actually employs workers within the construction sector (the use of intermediaries and </w:t>
      </w:r>
      <w:proofErr w:type="spellStart"/>
      <w:r w:rsidR="00886B87" w:rsidRPr="000E0C38">
        <w:rPr>
          <w:rFonts w:ascii="Arial" w:eastAsia="SimSun" w:hAnsi="Arial" w:cs="Arial"/>
          <w:sz w:val="20"/>
          <w:szCs w:val="20"/>
          <w:lang w:eastAsia="zh-CN"/>
        </w:rPr>
        <w:t>gangmasters</w:t>
      </w:r>
      <w:proofErr w:type="spellEnd"/>
      <w:r w:rsidR="00886B87" w:rsidRPr="000E0C38">
        <w:rPr>
          <w:rFonts w:ascii="Arial" w:eastAsia="SimSun" w:hAnsi="Arial" w:cs="Arial"/>
          <w:sz w:val="20"/>
          <w:szCs w:val="20"/>
          <w:lang w:eastAsia="zh-CN"/>
        </w:rPr>
        <w:t>), and to what extent workers can rely on both regular access to work and being paid for work when undertaken</w:t>
      </w:r>
      <w:r w:rsidR="00E9013D" w:rsidRPr="000E0C38">
        <w:rPr>
          <w:rFonts w:ascii="Arial" w:eastAsia="SimSun" w:hAnsi="Arial" w:cs="Arial"/>
          <w:sz w:val="20"/>
          <w:szCs w:val="20"/>
          <w:lang w:eastAsia="zh-CN"/>
        </w:rPr>
        <w:t xml:space="preserve"> as a result</w:t>
      </w:r>
      <w:r w:rsidR="00886B87"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w:t>
      </w:r>
      <w:r w:rsidR="00AD09C3" w:rsidRPr="000E0C38">
        <w:rPr>
          <w:rFonts w:ascii="Arial" w:eastAsia="SimSun" w:hAnsi="Arial" w:cs="Arial"/>
          <w:sz w:val="20"/>
          <w:szCs w:val="20"/>
          <w:lang w:eastAsia="zh-CN"/>
        </w:rPr>
        <w:t>The l</w:t>
      </w:r>
      <w:r w:rsidRPr="000E0C38">
        <w:rPr>
          <w:rFonts w:ascii="Arial" w:eastAsia="SimSun" w:hAnsi="Arial" w:cs="Arial"/>
          <w:sz w:val="20"/>
          <w:szCs w:val="20"/>
          <w:lang w:eastAsia="zh-CN"/>
        </w:rPr>
        <w:t>ack of social protection benefits such as pension schemes, maternity leave, and unemployment benefits are often correlated with poverty and vulnerability.</w:t>
      </w:r>
      <w:r w:rsidRPr="000E0C38">
        <w:rPr>
          <w:rFonts w:ascii="Arial" w:eastAsia="SimSun" w:hAnsi="Arial" w:cs="Arial"/>
          <w:sz w:val="20"/>
          <w:szCs w:val="20"/>
          <w:vertAlign w:val="superscript"/>
          <w:lang w:eastAsia="zh-CN"/>
        </w:rPr>
        <w:footnoteReference w:id="28"/>
      </w:r>
      <w:r w:rsidRPr="000E0C38">
        <w:rPr>
          <w:rFonts w:ascii="Arial" w:eastAsia="SimSun" w:hAnsi="Arial" w:cs="Arial"/>
          <w:sz w:val="20"/>
          <w:szCs w:val="20"/>
          <w:lang w:eastAsia="zh-CN"/>
        </w:rPr>
        <w:t xml:space="preserve"> </w:t>
      </w:r>
      <w:r w:rsidR="00944740" w:rsidRPr="000E0C38">
        <w:rPr>
          <w:rFonts w:ascii="Arial" w:eastAsia="SimSun" w:hAnsi="Arial" w:cs="Arial"/>
          <w:sz w:val="20"/>
          <w:szCs w:val="20"/>
          <w:lang w:eastAsia="zh-CN"/>
        </w:rPr>
        <w:t>Wages are low (often due to the oversup</w:t>
      </w:r>
      <w:r w:rsidR="004016F5" w:rsidRPr="000E0C38">
        <w:rPr>
          <w:rFonts w:ascii="Arial" w:eastAsia="SimSun" w:hAnsi="Arial" w:cs="Arial"/>
          <w:sz w:val="20"/>
          <w:szCs w:val="20"/>
          <w:lang w:eastAsia="zh-CN"/>
        </w:rPr>
        <w:t xml:space="preserve">ply of informal labour). </w:t>
      </w:r>
      <w:r w:rsidR="006316D3" w:rsidRPr="000E0C38">
        <w:rPr>
          <w:rFonts w:ascii="Arial" w:eastAsia="SimSun" w:hAnsi="Arial" w:cs="Arial"/>
          <w:sz w:val="20"/>
          <w:szCs w:val="20"/>
          <w:lang w:eastAsia="zh-CN"/>
        </w:rPr>
        <w:t>Hours may be long</w:t>
      </w:r>
      <w:r w:rsidR="004016F5" w:rsidRPr="000E0C38">
        <w:rPr>
          <w:rFonts w:ascii="Arial" w:eastAsia="SimSun" w:hAnsi="Arial" w:cs="Arial"/>
          <w:sz w:val="20"/>
          <w:szCs w:val="20"/>
          <w:lang w:eastAsia="zh-CN"/>
        </w:rPr>
        <w:t>,</w:t>
      </w:r>
      <w:r w:rsidR="006316D3" w:rsidRPr="000E0C38">
        <w:rPr>
          <w:rFonts w:ascii="Arial" w:eastAsia="SimSun" w:hAnsi="Arial" w:cs="Arial"/>
          <w:sz w:val="20"/>
          <w:szCs w:val="20"/>
          <w:lang w:eastAsia="zh-CN"/>
        </w:rPr>
        <w:t xml:space="preserve"> with workers pa</w:t>
      </w:r>
      <w:r w:rsidR="008C3D58" w:rsidRPr="000E0C38">
        <w:rPr>
          <w:rFonts w:ascii="Arial" w:eastAsia="SimSun" w:hAnsi="Arial" w:cs="Arial"/>
          <w:sz w:val="20"/>
          <w:szCs w:val="20"/>
          <w:lang w:eastAsia="zh-CN"/>
        </w:rPr>
        <w:t>i</w:t>
      </w:r>
      <w:r w:rsidR="006316D3" w:rsidRPr="000E0C38">
        <w:rPr>
          <w:rFonts w:ascii="Arial" w:eastAsia="SimSun" w:hAnsi="Arial" w:cs="Arial"/>
          <w:sz w:val="20"/>
          <w:szCs w:val="20"/>
          <w:lang w:eastAsia="zh-CN"/>
        </w:rPr>
        <w:t>d at piecemeal rates.</w:t>
      </w:r>
      <w:r w:rsidR="004016F5" w:rsidRPr="000E0C38">
        <w:rPr>
          <w:rFonts w:ascii="Arial" w:eastAsia="SimSun" w:hAnsi="Arial" w:cs="Arial"/>
          <w:sz w:val="20"/>
          <w:szCs w:val="20"/>
          <w:lang w:eastAsia="zh-CN"/>
        </w:rPr>
        <w:t xml:space="preserve"> </w:t>
      </w:r>
      <w:r w:rsidR="00944740" w:rsidRPr="000E0C38">
        <w:rPr>
          <w:rFonts w:ascii="Arial" w:eastAsia="SimSun" w:hAnsi="Arial" w:cs="Arial"/>
          <w:sz w:val="20"/>
          <w:szCs w:val="20"/>
          <w:lang w:eastAsia="zh-CN"/>
        </w:rPr>
        <w:t>Health and safety conditions are poor.</w:t>
      </w:r>
      <w:r w:rsidR="004016F5" w:rsidRPr="000E0C38">
        <w:rPr>
          <w:rFonts w:ascii="Arial" w:eastAsia="SimSun" w:hAnsi="Arial" w:cs="Arial"/>
          <w:sz w:val="20"/>
          <w:szCs w:val="20"/>
          <w:lang w:eastAsia="zh-CN"/>
        </w:rPr>
        <w:t xml:space="preserve"> </w:t>
      </w:r>
      <w:r w:rsidR="006316D3" w:rsidRPr="000E0C38">
        <w:rPr>
          <w:rFonts w:ascii="Arial" w:eastAsia="SimSun" w:hAnsi="Arial" w:cs="Arial"/>
          <w:sz w:val="20"/>
          <w:szCs w:val="20"/>
          <w:lang w:eastAsia="zh-CN"/>
        </w:rPr>
        <w:t>There is widespread discrimination in pay for women</w:t>
      </w:r>
      <w:r w:rsidR="00944740" w:rsidRPr="000E0C38">
        <w:rPr>
          <w:rFonts w:ascii="Arial" w:eastAsia="SimSun" w:hAnsi="Arial" w:cs="Arial"/>
          <w:sz w:val="20"/>
          <w:szCs w:val="20"/>
          <w:lang w:eastAsia="zh-CN"/>
        </w:rPr>
        <w:t xml:space="preserve"> and other vulnerable groups</w:t>
      </w:r>
      <w:r w:rsidR="006316D3" w:rsidRPr="000E0C38">
        <w:rPr>
          <w:rFonts w:ascii="Arial" w:eastAsia="SimSun" w:hAnsi="Arial" w:cs="Arial"/>
          <w:sz w:val="20"/>
          <w:szCs w:val="20"/>
          <w:lang w:eastAsia="zh-CN"/>
        </w:rPr>
        <w:t>.</w:t>
      </w:r>
    </w:p>
    <w:p w14:paraId="4E16675C" w14:textId="77777777" w:rsidR="003A6064" w:rsidRPr="000E0C38" w:rsidRDefault="00AD09C3" w:rsidP="00432BEF">
      <w:pPr>
        <w:spacing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A l</w:t>
      </w:r>
      <w:r w:rsidR="003A6064" w:rsidRPr="000E0C38">
        <w:rPr>
          <w:rFonts w:ascii="Arial" w:eastAsia="SimSun" w:hAnsi="Arial" w:cs="Arial"/>
          <w:sz w:val="20"/>
          <w:szCs w:val="20"/>
          <w:lang w:eastAsia="zh-CN"/>
        </w:rPr>
        <w:t xml:space="preserve">ack of social protection </w:t>
      </w:r>
      <w:r w:rsidR="00363811" w:rsidRPr="000E0C38">
        <w:rPr>
          <w:rFonts w:ascii="Arial" w:eastAsia="SimSun" w:hAnsi="Arial" w:cs="Arial"/>
          <w:sz w:val="20"/>
          <w:szCs w:val="20"/>
          <w:lang w:eastAsia="zh-CN"/>
        </w:rPr>
        <w:t xml:space="preserve">may </w:t>
      </w:r>
      <w:r w:rsidR="003A6064" w:rsidRPr="000E0C38">
        <w:rPr>
          <w:rFonts w:ascii="Arial" w:eastAsia="SimSun" w:hAnsi="Arial" w:cs="Arial"/>
          <w:sz w:val="20"/>
          <w:szCs w:val="20"/>
          <w:lang w:eastAsia="zh-CN"/>
        </w:rPr>
        <w:t>also result in additio</w:t>
      </w:r>
      <w:r w:rsidR="006E54C9" w:rsidRPr="000E0C38">
        <w:rPr>
          <w:rFonts w:ascii="Arial" w:eastAsia="SimSun" w:hAnsi="Arial" w:cs="Arial"/>
          <w:sz w:val="20"/>
          <w:szCs w:val="20"/>
          <w:lang w:eastAsia="zh-CN"/>
        </w:rPr>
        <w:t xml:space="preserve">nal costs for employers, </w:t>
      </w:r>
      <w:r w:rsidR="007C466A" w:rsidRPr="000E0C38">
        <w:rPr>
          <w:rFonts w:ascii="Arial" w:eastAsia="SimSun" w:hAnsi="Arial" w:cs="Arial"/>
          <w:sz w:val="20"/>
          <w:szCs w:val="20"/>
          <w:lang w:eastAsia="zh-CN"/>
        </w:rPr>
        <w:t>including</w:t>
      </w:r>
      <w:r w:rsidR="003A6064" w:rsidRPr="000E0C38">
        <w:rPr>
          <w:rFonts w:ascii="Arial" w:eastAsia="SimSun" w:hAnsi="Arial" w:cs="Arial"/>
          <w:sz w:val="20"/>
          <w:szCs w:val="20"/>
          <w:lang w:eastAsia="zh-CN"/>
        </w:rPr>
        <w:t>:</w:t>
      </w:r>
      <w:r w:rsidR="003A6064" w:rsidRPr="000E0C38">
        <w:rPr>
          <w:rFonts w:ascii="Arial" w:eastAsia="SimSun" w:hAnsi="Arial" w:cs="Arial"/>
          <w:sz w:val="20"/>
          <w:szCs w:val="20"/>
          <w:vertAlign w:val="superscript"/>
          <w:lang w:eastAsia="zh-CN"/>
        </w:rPr>
        <w:footnoteReference w:id="29"/>
      </w:r>
    </w:p>
    <w:p w14:paraId="4C880C9D" w14:textId="77777777" w:rsidR="003A6064" w:rsidRPr="000E0C38" w:rsidRDefault="003A6064" w:rsidP="00831B36">
      <w:pPr>
        <w:numPr>
          <w:ilvl w:val="0"/>
          <w:numId w:val="9"/>
        </w:numPr>
        <w:spacing w:line="276" w:lineRule="auto"/>
        <w:ind w:left="709" w:hanging="283"/>
        <w:jc w:val="both"/>
        <w:rPr>
          <w:rFonts w:ascii="Arial" w:eastAsia="SimSun" w:hAnsi="Arial" w:cs="Arial"/>
          <w:sz w:val="20"/>
          <w:szCs w:val="20"/>
          <w:lang w:eastAsia="zh-CN"/>
        </w:rPr>
      </w:pPr>
      <w:r w:rsidRPr="000E0C38">
        <w:rPr>
          <w:rFonts w:ascii="Arial" w:eastAsia="SimSun" w:hAnsi="Arial" w:cs="Arial"/>
          <w:sz w:val="20"/>
          <w:szCs w:val="20"/>
          <w:lang w:eastAsia="zh-CN"/>
        </w:rPr>
        <w:t>Out of pocket compensation for disabilities or serious illness incurred by workers.</w:t>
      </w:r>
    </w:p>
    <w:p w14:paraId="1A58B4DC" w14:textId="77777777" w:rsidR="003A6064" w:rsidRPr="000E0C38" w:rsidRDefault="003A6064" w:rsidP="00831B36">
      <w:pPr>
        <w:numPr>
          <w:ilvl w:val="0"/>
          <w:numId w:val="9"/>
        </w:numPr>
        <w:spacing w:line="276" w:lineRule="auto"/>
        <w:ind w:left="709" w:hanging="283"/>
        <w:jc w:val="both"/>
        <w:rPr>
          <w:rFonts w:ascii="Arial" w:eastAsia="SimSun" w:hAnsi="Arial" w:cs="Arial"/>
          <w:sz w:val="20"/>
          <w:szCs w:val="20"/>
          <w:lang w:eastAsia="zh-CN"/>
        </w:rPr>
      </w:pPr>
      <w:r w:rsidRPr="000E0C38">
        <w:rPr>
          <w:rFonts w:ascii="Arial" w:eastAsia="SimSun" w:hAnsi="Arial" w:cs="Arial"/>
          <w:sz w:val="20"/>
          <w:szCs w:val="20"/>
          <w:lang w:eastAsia="zh-CN"/>
        </w:rPr>
        <w:t>Hiring of temporary employees to replace ill workers and loss of skilled employees.</w:t>
      </w:r>
    </w:p>
    <w:p w14:paraId="581F1CE2" w14:textId="77777777" w:rsidR="003A6064" w:rsidRPr="000E0C38" w:rsidRDefault="003A6064" w:rsidP="00831B36">
      <w:pPr>
        <w:numPr>
          <w:ilvl w:val="0"/>
          <w:numId w:val="9"/>
        </w:numPr>
        <w:spacing w:line="276" w:lineRule="auto"/>
        <w:ind w:left="709" w:hanging="283"/>
        <w:jc w:val="both"/>
        <w:rPr>
          <w:rFonts w:ascii="Arial" w:eastAsia="SimSun" w:hAnsi="Arial" w:cs="Arial"/>
          <w:sz w:val="20"/>
          <w:szCs w:val="20"/>
          <w:lang w:eastAsia="zh-CN"/>
        </w:rPr>
      </w:pPr>
      <w:r w:rsidRPr="000E0C38">
        <w:rPr>
          <w:rFonts w:ascii="Arial" w:eastAsia="SimSun" w:hAnsi="Arial" w:cs="Arial"/>
          <w:sz w:val="20"/>
          <w:szCs w:val="20"/>
          <w:lang w:eastAsia="zh-CN"/>
        </w:rPr>
        <w:t>Overtime pay for workers as they may be forced to carry out extra duties on behalf of their injured or ill colleagues.</w:t>
      </w:r>
    </w:p>
    <w:p w14:paraId="3CA3F673" w14:textId="77777777" w:rsidR="003A6064" w:rsidRPr="000E0C38" w:rsidRDefault="003A6064" w:rsidP="00831B36">
      <w:pPr>
        <w:numPr>
          <w:ilvl w:val="0"/>
          <w:numId w:val="9"/>
        </w:numPr>
        <w:spacing w:line="276" w:lineRule="auto"/>
        <w:ind w:left="709" w:hanging="283"/>
        <w:jc w:val="both"/>
        <w:rPr>
          <w:rFonts w:ascii="Arial" w:eastAsia="SimSun" w:hAnsi="Arial" w:cs="Arial"/>
          <w:sz w:val="20"/>
          <w:szCs w:val="20"/>
          <w:lang w:eastAsia="zh-CN"/>
        </w:rPr>
      </w:pPr>
      <w:r w:rsidRPr="000E0C38">
        <w:rPr>
          <w:rFonts w:ascii="Arial" w:eastAsia="SimSun" w:hAnsi="Arial" w:cs="Arial"/>
          <w:sz w:val="20"/>
          <w:szCs w:val="20"/>
          <w:lang w:eastAsia="zh-CN"/>
        </w:rPr>
        <w:t>Legal costs in cases w</w:t>
      </w:r>
      <w:r w:rsidR="008C3D58" w:rsidRPr="000E0C38">
        <w:rPr>
          <w:rFonts w:ascii="Arial" w:eastAsia="SimSun" w:hAnsi="Arial" w:cs="Arial"/>
          <w:sz w:val="20"/>
          <w:szCs w:val="20"/>
          <w:lang w:eastAsia="zh-CN"/>
        </w:rPr>
        <w:t>h</w:t>
      </w:r>
      <w:r w:rsidRPr="000E0C38">
        <w:rPr>
          <w:rFonts w:ascii="Arial" w:eastAsia="SimSun" w:hAnsi="Arial" w:cs="Arial"/>
          <w:sz w:val="20"/>
          <w:szCs w:val="20"/>
          <w:lang w:eastAsia="zh-CN"/>
        </w:rPr>
        <w:t>ere an employee sues the employer.</w:t>
      </w:r>
    </w:p>
    <w:p w14:paraId="79326647" w14:textId="77777777" w:rsidR="003A6064" w:rsidRPr="000E0C38" w:rsidRDefault="003A6064" w:rsidP="00831B36">
      <w:pPr>
        <w:numPr>
          <w:ilvl w:val="0"/>
          <w:numId w:val="9"/>
        </w:numPr>
        <w:spacing w:line="276" w:lineRule="auto"/>
        <w:ind w:left="709" w:hanging="283"/>
        <w:jc w:val="both"/>
        <w:rPr>
          <w:rFonts w:ascii="Arial" w:eastAsia="SimSun" w:hAnsi="Arial" w:cs="Arial"/>
          <w:sz w:val="20"/>
          <w:szCs w:val="20"/>
          <w:lang w:eastAsia="zh-CN"/>
        </w:rPr>
      </w:pPr>
      <w:r w:rsidRPr="000E0C38">
        <w:rPr>
          <w:rFonts w:ascii="Arial" w:eastAsia="SimSun" w:hAnsi="Arial" w:cs="Arial"/>
          <w:sz w:val="20"/>
          <w:szCs w:val="20"/>
          <w:lang w:eastAsia="zh-CN"/>
        </w:rPr>
        <w:t>Penalties for noncompliance</w:t>
      </w:r>
      <w:r w:rsidR="001D319E" w:rsidRPr="000E0C38">
        <w:rPr>
          <w:rFonts w:ascii="Arial" w:eastAsia="SimSun" w:hAnsi="Arial" w:cs="Arial"/>
          <w:sz w:val="20"/>
          <w:szCs w:val="20"/>
          <w:lang w:eastAsia="zh-CN"/>
        </w:rPr>
        <w:t xml:space="preserve"> with </w:t>
      </w:r>
      <w:r w:rsidR="007C466A" w:rsidRPr="000E0C38">
        <w:rPr>
          <w:rFonts w:ascii="Arial" w:eastAsia="SimSun" w:hAnsi="Arial" w:cs="Arial"/>
          <w:sz w:val="20"/>
          <w:szCs w:val="20"/>
          <w:lang w:eastAsia="zh-CN"/>
        </w:rPr>
        <w:t>l</w:t>
      </w:r>
      <w:r w:rsidR="001D319E" w:rsidRPr="000E0C38">
        <w:rPr>
          <w:rFonts w:ascii="Arial" w:eastAsia="SimSun" w:hAnsi="Arial" w:cs="Arial"/>
          <w:sz w:val="20"/>
          <w:szCs w:val="20"/>
          <w:lang w:eastAsia="zh-CN"/>
        </w:rPr>
        <w:t>abour standards</w:t>
      </w:r>
      <w:r w:rsidRPr="000E0C38">
        <w:rPr>
          <w:rFonts w:ascii="Arial" w:eastAsia="SimSun" w:hAnsi="Arial" w:cs="Arial"/>
          <w:sz w:val="20"/>
          <w:szCs w:val="20"/>
          <w:lang w:eastAsia="zh-CN"/>
        </w:rPr>
        <w:t>.</w:t>
      </w:r>
    </w:p>
    <w:p w14:paraId="1D8A9D18" w14:textId="77777777" w:rsidR="003A6064" w:rsidRPr="000E0C38" w:rsidRDefault="003A6064" w:rsidP="00831B36">
      <w:pPr>
        <w:numPr>
          <w:ilvl w:val="0"/>
          <w:numId w:val="9"/>
        </w:numPr>
        <w:spacing w:after="120" w:line="276" w:lineRule="auto"/>
        <w:ind w:left="709" w:hanging="283"/>
        <w:jc w:val="both"/>
        <w:rPr>
          <w:rFonts w:ascii="Arial" w:eastAsia="SimSun" w:hAnsi="Arial" w:cs="Arial"/>
          <w:sz w:val="20"/>
          <w:szCs w:val="20"/>
          <w:lang w:eastAsia="zh-CN"/>
        </w:rPr>
      </w:pPr>
      <w:r w:rsidRPr="000E0C38">
        <w:rPr>
          <w:rFonts w:ascii="Arial" w:eastAsia="SimSun" w:hAnsi="Arial" w:cs="Arial"/>
          <w:sz w:val="20"/>
          <w:szCs w:val="20"/>
          <w:lang w:eastAsia="zh-CN"/>
        </w:rPr>
        <w:t>Loss of contracts due to delayed deliveries.</w:t>
      </w:r>
    </w:p>
    <w:p w14:paraId="69B95963" w14:textId="3B250397" w:rsidR="003A6064" w:rsidRPr="000E0C38" w:rsidRDefault="003A6064"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Informal employment can be divided into employment in the informal sector (mainly self-employment and informal micro-enterprises) and informal employment outside of the informal sector</w:t>
      </w:r>
      <w:r w:rsidR="001D319E" w:rsidRPr="000E0C38">
        <w:rPr>
          <w:rFonts w:ascii="Arial" w:eastAsia="SimSun" w:hAnsi="Arial" w:cs="Arial"/>
          <w:sz w:val="20"/>
          <w:szCs w:val="20"/>
          <w:lang w:eastAsia="zh-CN"/>
        </w:rPr>
        <w:t>, i.e. enterprises formally registered that employ workers informally</w:t>
      </w:r>
      <w:r w:rsidRPr="000E0C38">
        <w:rPr>
          <w:rFonts w:ascii="Arial" w:eastAsia="SimSun" w:hAnsi="Arial" w:cs="Arial"/>
          <w:sz w:val="20"/>
          <w:szCs w:val="20"/>
          <w:lang w:eastAsia="zh-CN"/>
        </w:rPr>
        <w:t>.</w:t>
      </w:r>
      <w:r w:rsidR="00BD6EDC" w:rsidRPr="000E0C38">
        <w:rPr>
          <w:rStyle w:val="FootnoteReference"/>
          <w:rFonts w:ascii="Arial" w:eastAsia="SimSun" w:hAnsi="Arial" w:cs="Arial"/>
          <w:sz w:val="20"/>
          <w:szCs w:val="20"/>
          <w:lang w:eastAsia="zh-CN"/>
        </w:rPr>
        <w:footnoteReference w:id="30"/>
      </w:r>
      <w:r w:rsidRPr="000E0C38">
        <w:rPr>
          <w:rFonts w:ascii="Times New Roman" w:eastAsia="SimSun" w:hAnsi="Times New Roman"/>
          <w:szCs w:val="22"/>
          <w:lang w:eastAsia="zh-CN"/>
        </w:rPr>
        <w:t xml:space="preserve"> </w:t>
      </w:r>
      <w:r w:rsidRPr="000E0C38">
        <w:rPr>
          <w:rFonts w:ascii="Arial" w:eastAsia="SimSun" w:hAnsi="Arial" w:cs="Arial"/>
          <w:sz w:val="20"/>
          <w:szCs w:val="20"/>
          <w:lang w:eastAsia="zh-CN"/>
        </w:rPr>
        <w:t>Self-employment and informal micro-enterprises are not a new phenomenon in the construction industry, but their prevalence has increased in recent years.</w:t>
      </w:r>
      <w:r w:rsidR="009209C6" w:rsidRPr="000E0C38">
        <w:rPr>
          <w:rFonts w:ascii="Arial" w:eastAsia="SimSun" w:hAnsi="Arial" w:cs="Arial"/>
          <w:sz w:val="20"/>
          <w:szCs w:val="20"/>
          <w:lang w:eastAsia="zh-CN"/>
        </w:rPr>
        <w:t xml:space="preserve"> </w:t>
      </w:r>
      <w:r w:rsidR="006E1A3F" w:rsidRPr="000E0C38">
        <w:rPr>
          <w:rFonts w:ascii="Arial" w:eastAsia="SimSun" w:hAnsi="Arial" w:cs="Arial"/>
          <w:sz w:val="20"/>
          <w:szCs w:val="20"/>
          <w:lang w:eastAsia="zh-CN"/>
        </w:rPr>
        <w:t xml:space="preserve">Self-employment is partly explained by changing employment relations. Many workers work directly for clients through these direct arrangements. However, self-employment is also associated with increased subcontracting done by </w:t>
      </w:r>
      <w:r w:rsidR="009209C6" w:rsidRPr="000E0C38">
        <w:rPr>
          <w:rFonts w:ascii="Arial" w:eastAsia="SimSun" w:hAnsi="Arial" w:cs="Arial"/>
          <w:sz w:val="20"/>
          <w:szCs w:val="20"/>
          <w:lang w:eastAsia="zh-CN"/>
        </w:rPr>
        <w:t>enterprises</w:t>
      </w:r>
      <w:r w:rsidR="006E1A3F" w:rsidRPr="000E0C38">
        <w:rPr>
          <w:rFonts w:ascii="Arial" w:eastAsia="SimSun" w:hAnsi="Arial" w:cs="Arial"/>
          <w:sz w:val="20"/>
          <w:szCs w:val="20"/>
          <w:lang w:eastAsia="zh-CN"/>
        </w:rPr>
        <w:t>.</w:t>
      </w:r>
      <w:r w:rsidR="009209C6"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An ILO report estimated that self-employment alone represents 70 per cent of informal employment in sub-Saharan Africa and 59 per cent in Asia.</w:t>
      </w:r>
      <w:r w:rsidRPr="000E0C38">
        <w:rPr>
          <w:rFonts w:ascii="Arial" w:eastAsia="SimSun" w:hAnsi="Arial" w:cs="Arial"/>
          <w:sz w:val="20"/>
          <w:szCs w:val="20"/>
          <w:vertAlign w:val="superscript"/>
          <w:lang w:eastAsia="zh-CN"/>
        </w:rPr>
        <w:footnoteReference w:id="31"/>
      </w:r>
      <w:r w:rsidRPr="000E0C38">
        <w:rPr>
          <w:rFonts w:ascii="Arial" w:eastAsia="SimSun" w:hAnsi="Arial" w:cs="Arial"/>
          <w:sz w:val="20"/>
          <w:szCs w:val="20"/>
          <w:lang w:eastAsia="zh-CN"/>
        </w:rPr>
        <w:t xml:space="preserve"> The same report calculated that self-employment represents nearly one third of total non-agricultural employment worldwide, and constitutes as much as 53 per cent of non-agricultural employment in sub-Saharan Africa.</w:t>
      </w:r>
      <w:r w:rsidR="006E1A3F" w:rsidRPr="000E0C38">
        <w:rPr>
          <w:rFonts w:ascii="Arial" w:eastAsia="SimSun" w:hAnsi="Arial" w:cs="Arial"/>
          <w:sz w:val="20"/>
          <w:szCs w:val="20"/>
          <w:lang w:eastAsia="zh-CN"/>
        </w:rPr>
        <w:t xml:space="preserve"> </w:t>
      </w:r>
    </w:p>
    <w:p w14:paraId="06A72999" w14:textId="65A678E4" w:rsidR="004016F5" w:rsidRPr="000E0C38" w:rsidRDefault="00134098" w:rsidP="008F4768">
      <w:pPr>
        <w:spacing w:after="120" w:line="276" w:lineRule="auto"/>
        <w:jc w:val="both"/>
        <w:rPr>
          <w:rFonts w:ascii="Arial" w:eastAsia="SimSun" w:hAnsi="Arial" w:cs="Arial"/>
          <w:sz w:val="20"/>
          <w:szCs w:val="16"/>
          <w:lang w:eastAsia="zh-CN"/>
        </w:rPr>
      </w:pPr>
      <w:r w:rsidRPr="000E0C38">
        <w:fldChar w:fldCharType="begin"/>
      </w:r>
      <w:r w:rsidRPr="000E0C38">
        <w:instrText xml:space="preserve"> REF _Ref492047716 \h  \* MERGEFORMAT </w:instrText>
      </w:r>
      <w:r w:rsidRPr="000E0C38">
        <w:fldChar w:fldCharType="separate"/>
      </w:r>
      <w:r w:rsidR="001A6968" w:rsidRPr="000E0C38">
        <w:rPr>
          <w:rFonts w:ascii="Arial" w:hAnsi="Arial" w:cs="Arial"/>
          <w:sz w:val="20"/>
          <w:szCs w:val="16"/>
        </w:rPr>
        <w:t>Figure 4</w:t>
      </w:r>
      <w:r w:rsidRPr="000E0C38">
        <w:fldChar w:fldCharType="end"/>
      </w:r>
      <w:r w:rsidR="003A6064" w:rsidRPr="000E0C38">
        <w:rPr>
          <w:rFonts w:ascii="Arial" w:eastAsia="SimSun" w:hAnsi="Arial" w:cs="Arial"/>
          <w:sz w:val="20"/>
          <w:szCs w:val="16"/>
          <w:lang w:eastAsia="zh-CN"/>
        </w:rPr>
        <w:t xml:space="preserve"> shows the incidence of informality in the construction sector </w:t>
      </w:r>
      <w:r w:rsidR="004016F5" w:rsidRPr="000E0C38">
        <w:rPr>
          <w:rFonts w:ascii="Arial" w:eastAsia="SimSun" w:hAnsi="Arial" w:cs="Arial"/>
          <w:sz w:val="20"/>
          <w:szCs w:val="16"/>
          <w:lang w:eastAsia="zh-CN"/>
        </w:rPr>
        <w:t xml:space="preserve">for </w:t>
      </w:r>
      <w:r w:rsidR="00651672" w:rsidRPr="000E0C38">
        <w:rPr>
          <w:rFonts w:ascii="Arial" w:eastAsia="SimSun" w:hAnsi="Arial" w:cs="Arial"/>
          <w:sz w:val="20"/>
          <w:szCs w:val="16"/>
          <w:lang w:eastAsia="zh-CN"/>
        </w:rPr>
        <w:t>the</w:t>
      </w:r>
      <w:r w:rsidR="003A6064" w:rsidRPr="000E0C38">
        <w:rPr>
          <w:rFonts w:ascii="Arial" w:eastAsia="SimSun" w:hAnsi="Arial" w:cs="Arial"/>
          <w:sz w:val="20"/>
          <w:szCs w:val="16"/>
          <w:lang w:eastAsia="zh-CN"/>
        </w:rPr>
        <w:t xml:space="preserve"> 10 DFID focus countries</w:t>
      </w:r>
      <w:r w:rsidR="00651672" w:rsidRPr="000E0C38">
        <w:rPr>
          <w:rFonts w:ascii="Arial" w:eastAsia="SimSun" w:hAnsi="Arial" w:cs="Arial"/>
          <w:sz w:val="20"/>
          <w:szCs w:val="16"/>
          <w:lang w:eastAsia="zh-CN"/>
        </w:rPr>
        <w:t xml:space="preserve"> for which data</w:t>
      </w:r>
      <w:r w:rsidR="00B72A90" w:rsidRPr="000E0C38">
        <w:rPr>
          <w:rFonts w:ascii="Arial" w:eastAsia="SimSun" w:hAnsi="Arial" w:cs="Arial"/>
          <w:sz w:val="20"/>
          <w:szCs w:val="16"/>
          <w:lang w:eastAsia="zh-CN"/>
        </w:rPr>
        <w:t xml:space="preserve"> is available</w:t>
      </w:r>
      <w:r w:rsidR="003A6064" w:rsidRPr="000E0C38">
        <w:rPr>
          <w:rFonts w:ascii="Arial" w:eastAsia="SimSun" w:hAnsi="Arial" w:cs="Arial"/>
          <w:sz w:val="20"/>
          <w:szCs w:val="16"/>
          <w:lang w:eastAsia="zh-CN"/>
        </w:rPr>
        <w:t>.</w:t>
      </w:r>
      <w:r w:rsidR="00A94109" w:rsidRPr="000E0C38">
        <w:rPr>
          <w:rStyle w:val="FootnoteReference"/>
          <w:rFonts w:ascii="Arial" w:eastAsia="SimSun" w:hAnsi="Arial" w:cs="Arial"/>
          <w:sz w:val="20"/>
          <w:szCs w:val="16"/>
          <w:lang w:eastAsia="zh-CN"/>
        </w:rPr>
        <w:footnoteReference w:id="32"/>
      </w:r>
      <w:r w:rsidR="003A6064" w:rsidRPr="000E0C38">
        <w:rPr>
          <w:rFonts w:ascii="Arial" w:eastAsia="SimSun" w:hAnsi="Arial" w:cs="Arial"/>
          <w:sz w:val="20"/>
          <w:szCs w:val="16"/>
          <w:lang w:eastAsia="zh-CN"/>
        </w:rPr>
        <w:t xml:space="preserve"> </w:t>
      </w:r>
      <w:r w:rsidR="0028291A" w:rsidRPr="000E0C38">
        <w:rPr>
          <w:rFonts w:ascii="Arial" w:eastAsia="SimSun" w:hAnsi="Arial" w:cs="Arial"/>
          <w:sz w:val="20"/>
          <w:szCs w:val="16"/>
          <w:lang w:eastAsia="zh-CN"/>
        </w:rPr>
        <w:t>Data presented in section one includes both formal and informal employment.</w:t>
      </w:r>
    </w:p>
    <w:p w14:paraId="55F38502" w14:textId="3E78B492" w:rsidR="004016F5" w:rsidRPr="000E0C38" w:rsidRDefault="004016F5" w:rsidP="00432BEF">
      <w:pPr>
        <w:pStyle w:val="Caption"/>
        <w:keepNext/>
        <w:spacing w:after="0"/>
        <w:jc w:val="both"/>
        <w:rPr>
          <w:b/>
          <w:sz w:val="20"/>
        </w:rPr>
      </w:pPr>
      <w:bookmarkStart w:id="17" w:name="_Ref492047716"/>
      <w:r w:rsidRPr="000E0C38">
        <w:rPr>
          <w:b/>
          <w:sz w:val="20"/>
          <w:szCs w:val="24"/>
        </w:rPr>
        <w:t xml:space="preserve">Figure </w:t>
      </w:r>
      <w:r w:rsidR="00226ED7" w:rsidRPr="000E0C38">
        <w:rPr>
          <w:b/>
          <w:sz w:val="20"/>
          <w:szCs w:val="24"/>
        </w:rPr>
        <w:fldChar w:fldCharType="begin"/>
      </w:r>
      <w:r w:rsidRPr="000E0C38">
        <w:rPr>
          <w:b/>
          <w:sz w:val="20"/>
          <w:szCs w:val="24"/>
        </w:rPr>
        <w:instrText xml:space="preserve"> SEQ Figure \* ARABIC </w:instrText>
      </w:r>
      <w:r w:rsidR="00226ED7" w:rsidRPr="000E0C38">
        <w:rPr>
          <w:b/>
          <w:sz w:val="20"/>
          <w:szCs w:val="24"/>
        </w:rPr>
        <w:fldChar w:fldCharType="separate"/>
      </w:r>
      <w:r w:rsidR="001A6968" w:rsidRPr="000E0C38">
        <w:rPr>
          <w:b/>
          <w:sz w:val="20"/>
          <w:szCs w:val="24"/>
        </w:rPr>
        <w:t>4</w:t>
      </w:r>
      <w:r w:rsidR="00226ED7" w:rsidRPr="000E0C38">
        <w:rPr>
          <w:b/>
          <w:sz w:val="20"/>
          <w:szCs w:val="24"/>
        </w:rPr>
        <w:fldChar w:fldCharType="end"/>
      </w:r>
      <w:bookmarkEnd w:id="17"/>
      <w:r w:rsidRPr="000E0C38">
        <w:rPr>
          <w:b/>
          <w:sz w:val="20"/>
        </w:rPr>
        <w:t xml:space="preserve">: </w:t>
      </w:r>
      <w:r w:rsidRPr="000E0C38">
        <w:rPr>
          <w:rFonts w:eastAsia="SimSun" w:cs="Arial"/>
          <w:b/>
          <w:sz w:val="20"/>
          <w:lang w:eastAsia="zh-CN"/>
        </w:rPr>
        <w:t>Informal employment in the construction industry, female and total (per cent)</w:t>
      </w:r>
    </w:p>
    <w:p w14:paraId="7A4280EE" w14:textId="1607979E" w:rsidR="004016F5" w:rsidRPr="000E0C38" w:rsidRDefault="00593181" w:rsidP="004016F5">
      <w:pPr>
        <w:spacing w:line="276" w:lineRule="auto"/>
        <w:jc w:val="both"/>
        <w:rPr>
          <w:rFonts w:ascii="Arial" w:eastAsia="SimSun" w:hAnsi="Arial" w:cs="Arial"/>
          <w:sz w:val="20"/>
          <w:szCs w:val="20"/>
          <w:lang w:eastAsia="zh-CN"/>
        </w:rPr>
      </w:pPr>
      <w:r w:rsidRPr="000E0C38">
        <w:rPr>
          <w:rFonts w:ascii="Arial" w:eastAsia="SimSun" w:hAnsi="Arial" w:cs="Arial"/>
          <w:noProof/>
          <w:sz w:val="16"/>
          <w:szCs w:val="16"/>
          <w:lang w:eastAsia="en-GB"/>
        </w:rPr>
        <mc:AlternateContent>
          <mc:Choice Requires="wps">
            <w:drawing>
              <wp:anchor distT="45720" distB="45720" distL="114300" distR="114300" simplePos="0" relativeHeight="251661312" behindDoc="0" locked="0" layoutInCell="1" allowOverlap="1" wp14:anchorId="2A002881" wp14:editId="0DA4C6F7">
                <wp:simplePos x="0" y="0"/>
                <wp:positionH relativeFrom="margin">
                  <wp:align>left</wp:align>
                </wp:positionH>
                <wp:positionV relativeFrom="paragraph">
                  <wp:posOffset>2612487</wp:posOffset>
                </wp:positionV>
                <wp:extent cx="1120140" cy="1404620"/>
                <wp:effectExtent l="0" t="0" r="381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404620"/>
                        </a:xfrm>
                        <a:prstGeom prst="rect">
                          <a:avLst/>
                        </a:prstGeom>
                        <a:solidFill>
                          <a:srgbClr val="FFFFFF"/>
                        </a:solidFill>
                        <a:ln w="9525">
                          <a:noFill/>
                          <a:miter lim="800000"/>
                          <a:headEnd/>
                          <a:tailEnd/>
                        </a:ln>
                      </wps:spPr>
                      <wps:txbx>
                        <w:txbxContent>
                          <w:p w14:paraId="4F8EFB1B" w14:textId="47B92282" w:rsidR="006A62B6" w:rsidRPr="00432BEF" w:rsidRDefault="006A62B6">
                            <w:pPr>
                              <w:rPr>
                                <w:sz w:val="16"/>
                                <w:szCs w:val="16"/>
                              </w:rPr>
                            </w:pPr>
                            <w:r w:rsidRPr="00432BEF">
                              <w:rPr>
                                <w:sz w:val="16"/>
                                <w:szCs w:val="16"/>
                              </w:rPr>
                              <w:t>Source: ILO (2013a)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02881" id="_x0000_s1028" type="#_x0000_t202" style="position:absolute;left:0;text-align:left;margin-left:0;margin-top:205.7pt;width:88.2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" stroked="f">
                <v:textbox style="mso-fit-shape-to-text:t">
                  <w:txbxContent>
                    <w:p w14:paraId="4F8EFB1B" w14:textId="47B92282" w:rsidR="006A62B6" w:rsidRPr="00432BEF" w:rsidRDefault="006A62B6">
                      <w:pPr>
                        <w:rPr>
                          <w:sz w:val="16"/>
                          <w:szCs w:val="16"/>
                        </w:rPr>
                      </w:pPr>
                      <w:r w:rsidRPr="00432BEF">
                        <w:rPr>
                          <w:sz w:val="16"/>
                          <w:szCs w:val="16"/>
                        </w:rPr>
                        <w:t>Source: ILO (2013a)</w:t>
                      </w:r>
                    </w:p>
                  </w:txbxContent>
                </v:textbox>
                <w10:wrap anchorx="margin"/>
              </v:shape>
            </w:pict>
          </mc:Fallback>
        </mc:AlternateContent>
      </w:r>
      <w:r w:rsidR="004016F5" w:rsidRPr="00EE5618">
        <w:rPr>
          <w:rFonts w:ascii="Arial" w:eastAsia="SimSun" w:hAnsi="Arial" w:cs="Arial"/>
          <w:noProof/>
          <w:sz w:val="18"/>
          <w:szCs w:val="20"/>
          <w:lang w:eastAsia="en-GB"/>
        </w:rPr>
        <w:drawing>
          <wp:inline distT="0" distB="0" distL="0" distR="0" wp14:anchorId="2FB99761" wp14:editId="2EF253ED">
            <wp:extent cx="6054725" cy="2942492"/>
            <wp:effectExtent l="0" t="0" r="3175" b="0"/>
            <wp:docPr id="27"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DB2F21" w14:textId="2F80FF65" w:rsidR="003A6064" w:rsidRPr="000E0C38" w:rsidRDefault="003A6064" w:rsidP="00432BEF">
      <w:pPr>
        <w:spacing w:after="120" w:line="276" w:lineRule="auto"/>
        <w:jc w:val="both"/>
        <w:rPr>
          <w:rFonts w:ascii="Arial" w:eastAsia="SimSun" w:hAnsi="Arial" w:cs="Arial"/>
          <w:sz w:val="20"/>
          <w:szCs w:val="16"/>
          <w:lang w:eastAsia="zh-CN"/>
        </w:rPr>
      </w:pPr>
      <w:r w:rsidRPr="000E0C38">
        <w:rPr>
          <w:rFonts w:ascii="Arial" w:eastAsia="SimSun" w:hAnsi="Arial" w:cs="Arial"/>
          <w:sz w:val="20"/>
          <w:szCs w:val="16"/>
          <w:lang w:eastAsia="zh-CN"/>
        </w:rPr>
        <w:lastRenderedPageBreak/>
        <w:t>There are large differences in informality rates among countries</w:t>
      </w:r>
      <w:r w:rsidR="00E7683F" w:rsidRPr="000E0C38">
        <w:rPr>
          <w:rFonts w:ascii="Arial" w:eastAsia="SimSun" w:hAnsi="Arial" w:cs="Arial"/>
          <w:sz w:val="20"/>
          <w:szCs w:val="16"/>
          <w:lang w:eastAsia="zh-CN"/>
        </w:rPr>
        <w:t xml:space="preserve"> in Figure 3</w:t>
      </w:r>
      <w:r w:rsidRPr="000E0C38">
        <w:rPr>
          <w:rFonts w:ascii="Arial" w:eastAsia="SimSun" w:hAnsi="Arial" w:cs="Arial"/>
          <w:sz w:val="20"/>
          <w:szCs w:val="16"/>
          <w:lang w:eastAsia="zh-CN"/>
        </w:rPr>
        <w:t xml:space="preserve">, but </w:t>
      </w:r>
      <w:r w:rsidR="00B72A90" w:rsidRPr="000E0C38">
        <w:rPr>
          <w:rFonts w:ascii="Arial" w:eastAsia="SimSun" w:hAnsi="Arial" w:cs="Arial"/>
          <w:sz w:val="20"/>
          <w:szCs w:val="16"/>
          <w:lang w:eastAsia="zh-CN"/>
        </w:rPr>
        <w:t>informality is generally high</w:t>
      </w:r>
      <w:r w:rsidRPr="000E0C38">
        <w:rPr>
          <w:rFonts w:ascii="Arial" w:eastAsia="SimSun" w:hAnsi="Arial" w:cs="Arial"/>
          <w:sz w:val="20"/>
          <w:szCs w:val="16"/>
          <w:lang w:eastAsia="zh-CN"/>
        </w:rPr>
        <w:t>.</w:t>
      </w:r>
      <w:r w:rsidR="009209C6" w:rsidRPr="000E0C38">
        <w:rPr>
          <w:rFonts w:ascii="Arial" w:eastAsia="SimSun" w:hAnsi="Arial" w:cs="Arial"/>
          <w:sz w:val="20"/>
          <w:szCs w:val="16"/>
          <w:lang w:eastAsia="zh-CN"/>
        </w:rPr>
        <w:t xml:space="preserve"> Countries with highest informality rates include India, Palestine and Pakistan. DFID </w:t>
      </w:r>
      <w:r w:rsidR="004016F5" w:rsidRPr="000E0C38">
        <w:rPr>
          <w:rFonts w:ascii="Arial" w:eastAsia="SimSun" w:hAnsi="Arial" w:cs="Arial"/>
          <w:sz w:val="20"/>
          <w:szCs w:val="16"/>
          <w:lang w:eastAsia="zh-CN"/>
        </w:rPr>
        <w:t>interventions promoting formalis</w:t>
      </w:r>
      <w:r w:rsidR="009209C6" w:rsidRPr="000E0C38">
        <w:rPr>
          <w:rFonts w:ascii="Arial" w:eastAsia="SimSun" w:hAnsi="Arial" w:cs="Arial"/>
          <w:sz w:val="20"/>
          <w:szCs w:val="16"/>
          <w:lang w:eastAsia="zh-CN"/>
        </w:rPr>
        <w:t xml:space="preserve">ation could focus on these countries first. </w:t>
      </w:r>
      <w:r w:rsidRPr="000E0C38">
        <w:rPr>
          <w:rFonts w:ascii="Arial" w:eastAsia="SimSun" w:hAnsi="Arial" w:cs="Arial"/>
          <w:sz w:val="20"/>
          <w:szCs w:val="16"/>
          <w:lang w:eastAsia="zh-CN"/>
        </w:rPr>
        <w:t>Countries such as South Africa, Uganda, Liberia and Zimbabwe have comparatively low levels of informality. T</w:t>
      </w:r>
      <w:r w:rsidR="00BD6EDC" w:rsidRPr="000E0C38">
        <w:rPr>
          <w:rFonts w:ascii="Arial" w:eastAsia="SimSun" w:hAnsi="Arial" w:cs="Arial"/>
          <w:sz w:val="20"/>
          <w:szCs w:val="16"/>
          <w:lang w:eastAsia="zh-CN"/>
        </w:rPr>
        <w:t>his could be</w:t>
      </w:r>
      <w:r w:rsidRPr="000E0C38">
        <w:rPr>
          <w:rFonts w:ascii="Arial" w:eastAsia="SimSun" w:hAnsi="Arial" w:cs="Arial"/>
          <w:sz w:val="20"/>
          <w:szCs w:val="16"/>
          <w:lang w:eastAsia="zh-CN"/>
        </w:rPr>
        <w:t xml:space="preserve"> </w:t>
      </w:r>
      <w:r w:rsidR="00BD6EDC" w:rsidRPr="000E0C38">
        <w:rPr>
          <w:rFonts w:ascii="Arial" w:eastAsia="SimSun" w:hAnsi="Arial" w:cs="Arial"/>
          <w:sz w:val="20"/>
          <w:szCs w:val="16"/>
          <w:lang w:eastAsia="zh-CN"/>
        </w:rPr>
        <w:t xml:space="preserve">partly </w:t>
      </w:r>
      <w:r w:rsidRPr="000E0C38">
        <w:rPr>
          <w:rFonts w:ascii="Arial" w:eastAsia="SimSun" w:hAnsi="Arial" w:cs="Arial"/>
          <w:sz w:val="20"/>
          <w:szCs w:val="16"/>
          <w:lang w:eastAsia="zh-CN"/>
        </w:rPr>
        <w:t xml:space="preserve">due to stronger </w:t>
      </w:r>
      <w:r w:rsidR="00BD6EDC" w:rsidRPr="000E0C38">
        <w:rPr>
          <w:rFonts w:ascii="Arial" w:eastAsia="SimSun" w:hAnsi="Arial" w:cs="Arial"/>
          <w:sz w:val="20"/>
          <w:szCs w:val="16"/>
          <w:lang w:eastAsia="zh-CN"/>
        </w:rPr>
        <w:t>enforcement</w:t>
      </w:r>
      <w:r w:rsidRPr="000E0C38">
        <w:rPr>
          <w:rFonts w:ascii="Arial" w:eastAsia="SimSun" w:hAnsi="Arial" w:cs="Arial"/>
          <w:sz w:val="20"/>
          <w:szCs w:val="16"/>
          <w:lang w:eastAsia="zh-CN"/>
        </w:rPr>
        <w:t xml:space="preserve"> by governments</w:t>
      </w:r>
      <w:r w:rsidR="00EE5618">
        <w:rPr>
          <w:rFonts w:ascii="Arial" w:eastAsia="SimSun" w:hAnsi="Arial" w:cs="Arial"/>
          <w:sz w:val="20"/>
          <w:szCs w:val="16"/>
          <w:lang w:eastAsia="zh-CN"/>
        </w:rPr>
        <w:t>,</w:t>
      </w:r>
      <w:r w:rsidR="00BD6EDC" w:rsidRPr="000E0C38">
        <w:rPr>
          <w:rFonts w:ascii="Arial" w:eastAsia="SimSun" w:hAnsi="Arial" w:cs="Arial"/>
          <w:sz w:val="20"/>
          <w:szCs w:val="16"/>
          <w:lang w:eastAsia="zh-CN"/>
        </w:rPr>
        <w:t xml:space="preserve"> i.e. </w:t>
      </w:r>
      <w:r w:rsidRPr="000E0C38">
        <w:rPr>
          <w:rFonts w:ascii="Arial" w:eastAsia="SimSun" w:hAnsi="Arial" w:cs="Arial"/>
          <w:sz w:val="20"/>
          <w:szCs w:val="16"/>
          <w:lang w:eastAsia="zh-CN"/>
        </w:rPr>
        <w:t>higher union density</w:t>
      </w:r>
      <w:r w:rsidR="00BD6EDC" w:rsidRPr="000E0C38">
        <w:rPr>
          <w:rFonts w:ascii="Arial" w:eastAsia="SimSun" w:hAnsi="Arial" w:cs="Arial"/>
          <w:sz w:val="20"/>
          <w:szCs w:val="16"/>
          <w:lang w:eastAsia="zh-CN"/>
        </w:rPr>
        <w:t xml:space="preserve"> and more economic development</w:t>
      </w:r>
      <w:r w:rsidRPr="000E0C38">
        <w:rPr>
          <w:rFonts w:ascii="Arial" w:eastAsia="SimSun" w:hAnsi="Arial" w:cs="Arial"/>
          <w:sz w:val="20"/>
          <w:szCs w:val="16"/>
          <w:lang w:eastAsia="zh-CN"/>
        </w:rPr>
        <w:t xml:space="preserve">. </w:t>
      </w:r>
      <w:r w:rsidR="00651672" w:rsidRPr="000E0C38">
        <w:rPr>
          <w:rFonts w:ascii="Arial" w:eastAsia="SimSun" w:hAnsi="Arial" w:cs="Arial"/>
          <w:sz w:val="20"/>
          <w:szCs w:val="16"/>
          <w:lang w:eastAsia="zh-CN"/>
        </w:rPr>
        <w:t xml:space="preserve">With larger government resources, the Department of </w:t>
      </w:r>
      <w:r w:rsidR="00121662" w:rsidRPr="000E0C38">
        <w:rPr>
          <w:rFonts w:ascii="Arial" w:eastAsia="SimSun" w:hAnsi="Arial" w:cs="Arial"/>
          <w:sz w:val="20"/>
          <w:szCs w:val="16"/>
          <w:lang w:eastAsia="zh-CN"/>
        </w:rPr>
        <w:t>L</w:t>
      </w:r>
      <w:r w:rsidR="00651672" w:rsidRPr="000E0C38">
        <w:rPr>
          <w:rFonts w:ascii="Arial" w:eastAsia="SimSun" w:hAnsi="Arial" w:cs="Arial"/>
          <w:sz w:val="20"/>
          <w:szCs w:val="16"/>
          <w:lang w:eastAsia="zh-CN"/>
        </w:rPr>
        <w:t>abour can tackle informal enterp</w:t>
      </w:r>
      <w:r w:rsidR="004016F5" w:rsidRPr="000E0C38">
        <w:rPr>
          <w:rFonts w:ascii="Arial" w:eastAsia="SimSun" w:hAnsi="Arial" w:cs="Arial"/>
          <w:sz w:val="20"/>
          <w:szCs w:val="16"/>
          <w:lang w:eastAsia="zh-CN"/>
        </w:rPr>
        <w:t>rises and support their formalis</w:t>
      </w:r>
      <w:r w:rsidR="00651672" w:rsidRPr="000E0C38">
        <w:rPr>
          <w:rFonts w:ascii="Arial" w:eastAsia="SimSun" w:hAnsi="Arial" w:cs="Arial"/>
          <w:sz w:val="20"/>
          <w:szCs w:val="16"/>
          <w:lang w:eastAsia="zh-CN"/>
        </w:rPr>
        <w:t>ation</w:t>
      </w:r>
      <w:r w:rsidRPr="000E0C38">
        <w:rPr>
          <w:rFonts w:ascii="Arial" w:eastAsia="SimSun" w:hAnsi="Arial" w:cs="Arial"/>
          <w:sz w:val="20"/>
          <w:szCs w:val="16"/>
          <w:lang w:eastAsia="zh-CN"/>
        </w:rPr>
        <w:t>.</w:t>
      </w:r>
      <w:r w:rsidR="00651672" w:rsidRPr="000E0C38">
        <w:rPr>
          <w:rFonts w:ascii="Arial" w:eastAsia="SimSun" w:hAnsi="Arial" w:cs="Arial"/>
          <w:sz w:val="20"/>
          <w:szCs w:val="16"/>
          <w:lang w:eastAsia="zh-CN"/>
        </w:rPr>
        <w:t xml:space="preserve"> In a similar way, with high union density, trade unions are more able to reach large numbers of employers and</w:t>
      </w:r>
      <w:r w:rsidR="004016F5" w:rsidRPr="000E0C38">
        <w:rPr>
          <w:rFonts w:ascii="Arial" w:eastAsia="SimSun" w:hAnsi="Arial" w:cs="Arial"/>
          <w:sz w:val="20"/>
          <w:szCs w:val="16"/>
          <w:lang w:eastAsia="zh-CN"/>
        </w:rPr>
        <w:t xml:space="preserve"> workers to support the formalis</w:t>
      </w:r>
      <w:r w:rsidR="00651672" w:rsidRPr="000E0C38">
        <w:rPr>
          <w:rFonts w:ascii="Arial" w:eastAsia="SimSun" w:hAnsi="Arial" w:cs="Arial"/>
          <w:sz w:val="20"/>
          <w:szCs w:val="16"/>
          <w:lang w:eastAsia="zh-CN"/>
        </w:rPr>
        <w:t>ation of such enterprises.</w:t>
      </w:r>
      <w:r w:rsidRPr="000E0C38">
        <w:rPr>
          <w:rFonts w:ascii="Arial" w:eastAsia="SimSun" w:hAnsi="Arial" w:cs="Arial"/>
          <w:sz w:val="20"/>
          <w:szCs w:val="16"/>
          <w:lang w:eastAsia="zh-CN"/>
        </w:rPr>
        <w:t xml:space="preserve"> </w:t>
      </w:r>
    </w:p>
    <w:p w14:paraId="1BABE2A7" w14:textId="77777777" w:rsidR="003A6064" w:rsidRPr="000E0C38" w:rsidRDefault="003A6064"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For </w:t>
      </w:r>
      <w:r w:rsidR="004016F5" w:rsidRPr="000E0C38">
        <w:rPr>
          <w:rFonts w:ascii="Arial" w:eastAsia="SimSun" w:hAnsi="Arial" w:cs="Arial"/>
          <w:sz w:val="20"/>
          <w:szCs w:val="20"/>
          <w:lang w:eastAsia="zh-CN"/>
        </w:rPr>
        <w:t xml:space="preserve">the 10 countries in </w:t>
      </w:r>
      <w:r w:rsidRPr="000E0C38">
        <w:rPr>
          <w:rFonts w:ascii="Arial" w:eastAsia="SimSun" w:hAnsi="Arial" w:cs="Arial"/>
          <w:sz w:val="20"/>
          <w:szCs w:val="20"/>
          <w:lang w:eastAsia="zh-CN"/>
        </w:rPr>
        <w:t xml:space="preserve">Figure 3 there is a negative and moderate correlation between the level of informality and the level of economic </w:t>
      </w:r>
      <w:r w:rsidR="00E237E7" w:rsidRPr="000E0C38">
        <w:rPr>
          <w:rFonts w:ascii="Arial" w:eastAsia="SimSun" w:hAnsi="Arial" w:cs="Arial"/>
          <w:sz w:val="20"/>
          <w:szCs w:val="20"/>
          <w:lang w:eastAsia="zh-CN"/>
        </w:rPr>
        <w:t xml:space="preserve">output </w:t>
      </w:r>
      <w:r w:rsidR="00BD6EDC" w:rsidRPr="000E0C38">
        <w:rPr>
          <w:rFonts w:ascii="Arial" w:eastAsia="SimSun" w:hAnsi="Arial" w:cs="Arial"/>
          <w:sz w:val="20"/>
          <w:szCs w:val="20"/>
          <w:lang w:eastAsia="zh-CN"/>
        </w:rPr>
        <w:t>(measured as GDP per capita)</w:t>
      </w:r>
      <w:r w:rsidRPr="000E0C38">
        <w:rPr>
          <w:rFonts w:ascii="Arial" w:eastAsia="SimSun" w:hAnsi="Arial" w:cs="Arial"/>
          <w:sz w:val="20"/>
          <w:szCs w:val="20"/>
          <w:lang w:eastAsia="zh-CN"/>
        </w:rPr>
        <w:t xml:space="preserve"> (-0.19), meaning that the </w:t>
      </w:r>
      <w:r w:rsidR="00E237E7" w:rsidRPr="000E0C38">
        <w:rPr>
          <w:rFonts w:ascii="Arial" w:eastAsia="SimSun" w:hAnsi="Arial" w:cs="Arial"/>
          <w:sz w:val="20"/>
          <w:szCs w:val="20"/>
          <w:lang w:eastAsia="zh-CN"/>
        </w:rPr>
        <w:t>richer a</w:t>
      </w:r>
      <w:r w:rsidRPr="000E0C38">
        <w:rPr>
          <w:rFonts w:ascii="Arial" w:eastAsia="SimSun" w:hAnsi="Arial" w:cs="Arial"/>
          <w:sz w:val="20"/>
          <w:szCs w:val="20"/>
          <w:lang w:eastAsia="zh-CN"/>
        </w:rPr>
        <w:t xml:space="preserve"> country is</w:t>
      </w:r>
      <w:r w:rsidR="00E237E7" w:rsidRPr="000E0C38">
        <w:rPr>
          <w:rFonts w:ascii="Arial" w:eastAsia="SimSun" w:hAnsi="Arial" w:cs="Arial"/>
          <w:sz w:val="20"/>
          <w:szCs w:val="20"/>
          <w:lang w:eastAsia="zh-CN"/>
        </w:rPr>
        <w:t xml:space="preserve"> (in output terms)</w:t>
      </w:r>
      <w:r w:rsidRPr="000E0C38">
        <w:rPr>
          <w:rFonts w:ascii="Arial" w:eastAsia="SimSun" w:hAnsi="Arial" w:cs="Arial"/>
          <w:sz w:val="20"/>
          <w:szCs w:val="20"/>
          <w:lang w:eastAsia="zh-CN"/>
        </w:rPr>
        <w:t>, the less likely employment will be informal.</w:t>
      </w:r>
      <w:r w:rsidR="00651672" w:rsidRPr="000E0C38">
        <w:rPr>
          <w:rFonts w:ascii="Arial" w:eastAsia="SimSun" w:hAnsi="Arial" w:cs="Arial"/>
          <w:sz w:val="20"/>
          <w:szCs w:val="20"/>
          <w:lang w:eastAsia="zh-CN"/>
        </w:rPr>
        <w:t xml:space="preserve"> </w:t>
      </w:r>
      <w:r w:rsidR="00E237E7" w:rsidRPr="000E0C38">
        <w:rPr>
          <w:rFonts w:ascii="Arial" w:eastAsia="SimSun" w:hAnsi="Arial" w:cs="Arial"/>
          <w:sz w:val="20"/>
          <w:szCs w:val="20"/>
          <w:lang w:eastAsia="zh-CN"/>
        </w:rPr>
        <w:t xml:space="preserve">More </w:t>
      </w:r>
      <w:r w:rsidR="00BD6EDC" w:rsidRPr="000E0C38">
        <w:rPr>
          <w:rFonts w:ascii="Arial" w:eastAsia="SimSun" w:hAnsi="Arial" w:cs="Arial"/>
          <w:sz w:val="20"/>
          <w:szCs w:val="20"/>
          <w:lang w:eastAsia="zh-CN"/>
        </w:rPr>
        <w:t>GDP per capita</w:t>
      </w:r>
      <w:r w:rsidR="00E237E7" w:rsidRPr="000E0C38">
        <w:rPr>
          <w:rFonts w:ascii="Arial" w:eastAsia="SimSun" w:hAnsi="Arial" w:cs="Arial"/>
          <w:sz w:val="20"/>
          <w:szCs w:val="20"/>
          <w:lang w:eastAsia="zh-CN"/>
        </w:rPr>
        <w:t xml:space="preserve"> means it is</w:t>
      </w:r>
      <w:r w:rsidR="00B93EE1" w:rsidRPr="000E0C38">
        <w:rPr>
          <w:rFonts w:ascii="Arial" w:eastAsia="SimSun" w:hAnsi="Arial" w:cs="Arial"/>
          <w:sz w:val="20"/>
          <w:szCs w:val="20"/>
          <w:lang w:eastAsia="zh-CN"/>
        </w:rPr>
        <w:t xml:space="preserve"> more affordable</w:t>
      </w:r>
      <w:r w:rsidR="00651672" w:rsidRPr="000E0C38">
        <w:rPr>
          <w:rFonts w:ascii="Arial" w:eastAsia="SimSun" w:hAnsi="Arial" w:cs="Arial"/>
          <w:sz w:val="20"/>
          <w:szCs w:val="20"/>
          <w:lang w:eastAsia="zh-CN"/>
        </w:rPr>
        <w:t xml:space="preserve"> to </w:t>
      </w:r>
      <w:r w:rsidR="00AD09C3" w:rsidRPr="000E0C38">
        <w:rPr>
          <w:rFonts w:ascii="Arial" w:eastAsia="SimSun" w:hAnsi="Arial" w:cs="Arial"/>
          <w:sz w:val="20"/>
          <w:szCs w:val="20"/>
          <w:lang w:eastAsia="zh-CN"/>
        </w:rPr>
        <w:t xml:space="preserve">absorb the additional </w:t>
      </w:r>
      <w:r w:rsidR="00E237E7" w:rsidRPr="000E0C38">
        <w:rPr>
          <w:rFonts w:ascii="Arial" w:eastAsia="SimSun" w:hAnsi="Arial" w:cs="Arial"/>
          <w:sz w:val="20"/>
          <w:szCs w:val="20"/>
          <w:lang w:eastAsia="zh-CN"/>
        </w:rPr>
        <w:t>costs of formalis</w:t>
      </w:r>
      <w:r w:rsidR="00651672" w:rsidRPr="000E0C38">
        <w:rPr>
          <w:rFonts w:ascii="Arial" w:eastAsia="SimSun" w:hAnsi="Arial" w:cs="Arial"/>
          <w:sz w:val="20"/>
          <w:szCs w:val="20"/>
          <w:lang w:eastAsia="zh-CN"/>
        </w:rPr>
        <w:t>ation</w:t>
      </w:r>
      <w:r w:rsidR="00E237E7" w:rsidRPr="000E0C38">
        <w:rPr>
          <w:rFonts w:ascii="Arial" w:eastAsia="SimSun" w:hAnsi="Arial" w:cs="Arial"/>
          <w:sz w:val="20"/>
          <w:szCs w:val="20"/>
          <w:lang w:eastAsia="zh-CN"/>
        </w:rPr>
        <w:t>. There may also be</w:t>
      </w:r>
      <w:r w:rsidR="00AD09C3" w:rsidRPr="000E0C38">
        <w:rPr>
          <w:rFonts w:ascii="Arial" w:eastAsia="SimSun" w:hAnsi="Arial" w:cs="Arial"/>
          <w:sz w:val="20"/>
          <w:szCs w:val="20"/>
          <w:lang w:eastAsia="zh-CN"/>
        </w:rPr>
        <w:t xml:space="preserve"> greater risk</w:t>
      </w:r>
      <w:r w:rsidR="00E237E7" w:rsidRPr="000E0C38">
        <w:rPr>
          <w:rFonts w:ascii="Arial" w:eastAsia="SimSun" w:hAnsi="Arial" w:cs="Arial"/>
          <w:sz w:val="20"/>
          <w:szCs w:val="20"/>
          <w:lang w:eastAsia="zh-CN"/>
        </w:rPr>
        <w:t>s to pursuing informal employment, if</w:t>
      </w:r>
      <w:r w:rsidR="00651672" w:rsidRPr="000E0C38">
        <w:rPr>
          <w:rFonts w:ascii="Arial" w:eastAsia="SimSun" w:hAnsi="Arial" w:cs="Arial"/>
          <w:sz w:val="20"/>
          <w:szCs w:val="20"/>
          <w:lang w:eastAsia="zh-CN"/>
        </w:rPr>
        <w:t xml:space="preserve"> government agencies have more enforcement power.</w:t>
      </w:r>
    </w:p>
    <w:p w14:paraId="2C22D618" w14:textId="77777777" w:rsidR="003A6064" w:rsidRPr="000E0C38" w:rsidRDefault="003A6064"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Employment surve</w:t>
      </w:r>
      <w:r w:rsidR="002E4691" w:rsidRPr="000E0C38">
        <w:rPr>
          <w:rFonts w:ascii="Arial" w:eastAsia="SimSun" w:hAnsi="Arial" w:cs="Arial"/>
          <w:sz w:val="20"/>
          <w:szCs w:val="20"/>
          <w:lang w:eastAsia="zh-CN"/>
        </w:rPr>
        <w:t xml:space="preserve">ys covering the informal sector </w:t>
      </w:r>
      <w:r w:rsidRPr="000E0C38">
        <w:rPr>
          <w:rFonts w:ascii="Arial" w:eastAsia="SimSun" w:hAnsi="Arial" w:cs="Arial"/>
          <w:sz w:val="20"/>
          <w:szCs w:val="20"/>
          <w:lang w:eastAsia="zh-CN"/>
        </w:rPr>
        <w:t>show that there are an increasing number of construction workers employed in enterprises with less than five workers.</w:t>
      </w:r>
      <w:r w:rsidRPr="000E0C38">
        <w:rPr>
          <w:rFonts w:ascii="Arial" w:eastAsia="SimSun" w:hAnsi="Arial" w:cs="Arial"/>
          <w:sz w:val="20"/>
          <w:szCs w:val="20"/>
          <w:vertAlign w:val="superscript"/>
          <w:lang w:eastAsia="zh-CN"/>
        </w:rPr>
        <w:footnoteReference w:id="33"/>
      </w:r>
      <w:r w:rsidRPr="000E0C38">
        <w:rPr>
          <w:rFonts w:ascii="Arial" w:eastAsia="SimSun" w:hAnsi="Arial" w:cs="Arial"/>
          <w:sz w:val="20"/>
          <w:szCs w:val="20"/>
          <w:lang w:eastAsia="zh-CN"/>
        </w:rPr>
        <w:t xml:space="preserve"> Such individuals may work in the informal construction industry as employees, as self-employed workers, or as owners of small enterprises employing other workers. In India, much building activity is undertaken directly by small enterprises hired directly by building owners. This is known as the Naka</w:t>
      </w:r>
      <w:r w:rsidR="00E237E7"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w:t>
      </w:r>
      <w:r w:rsidR="00E237E7" w:rsidRPr="000E0C38">
        <w:rPr>
          <w:rFonts w:ascii="Arial" w:eastAsia="SimSun" w:hAnsi="Arial" w:cs="Arial"/>
          <w:sz w:val="20"/>
          <w:szCs w:val="20"/>
          <w:lang w:eastAsia="zh-CN"/>
        </w:rPr>
        <w:t xml:space="preserve"> </w:t>
      </w:r>
      <w:proofErr w:type="spellStart"/>
      <w:r w:rsidRPr="000E0C38">
        <w:rPr>
          <w:rFonts w:ascii="Arial" w:eastAsia="SimSun" w:hAnsi="Arial" w:cs="Arial"/>
          <w:sz w:val="20"/>
          <w:szCs w:val="20"/>
          <w:lang w:eastAsia="zh-CN"/>
        </w:rPr>
        <w:t>Mandi</w:t>
      </w:r>
      <w:proofErr w:type="spellEnd"/>
      <w:r w:rsidRPr="000E0C38">
        <w:rPr>
          <w:rFonts w:ascii="Arial" w:eastAsia="SimSun" w:hAnsi="Arial" w:cs="Arial"/>
          <w:sz w:val="20"/>
          <w:szCs w:val="20"/>
          <w:lang w:eastAsia="zh-CN"/>
        </w:rPr>
        <w:t xml:space="preserve"> section of the industry.</w:t>
      </w:r>
      <w:r w:rsidRPr="000E0C38">
        <w:rPr>
          <w:rFonts w:ascii="Arial" w:eastAsia="SimSun" w:hAnsi="Arial" w:cs="Arial"/>
          <w:sz w:val="20"/>
          <w:szCs w:val="20"/>
          <w:vertAlign w:val="superscript"/>
          <w:lang w:eastAsia="zh-CN"/>
        </w:rPr>
        <w:footnoteReference w:id="34"/>
      </w:r>
      <w:r w:rsidRPr="000E0C38">
        <w:rPr>
          <w:rFonts w:ascii="Arial" w:eastAsia="SimSun" w:hAnsi="Arial" w:cs="Arial"/>
          <w:sz w:val="20"/>
          <w:szCs w:val="20"/>
          <w:lang w:eastAsia="zh-CN"/>
        </w:rPr>
        <w:t xml:space="preserve"> Naka</w:t>
      </w:r>
      <w:r w:rsidR="00E237E7"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w:t>
      </w:r>
      <w:r w:rsidR="00E237E7" w:rsidRPr="000E0C38">
        <w:rPr>
          <w:rFonts w:ascii="Arial" w:eastAsia="SimSun" w:hAnsi="Arial" w:cs="Arial"/>
          <w:sz w:val="20"/>
          <w:szCs w:val="20"/>
          <w:lang w:eastAsia="zh-CN"/>
        </w:rPr>
        <w:t xml:space="preserve"> </w:t>
      </w:r>
      <w:proofErr w:type="spellStart"/>
      <w:r w:rsidRPr="000E0C38">
        <w:rPr>
          <w:rFonts w:ascii="Arial" w:eastAsia="SimSun" w:hAnsi="Arial" w:cs="Arial"/>
          <w:sz w:val="20"/>
          <w:szCs w:val="20"/>
          <w:lang w:eastAsia="zh-CN"/>
        </w:rPr>
        <w:t>Mandis</w:t>
      </w:r>
      <w:proofErr w:type="spellEnd"/>
      <w:r w:rsidRPr="000E0C38">
        <w:rPr>
          <w:rFonts w:ascii="Arial" w:eastAsia="SimSun" w:hAnsi="Arial" w:cs="Arial"/>
          <w:sz w:val="20"/>
          <w:szCs w:val="20"/>
          <w:lang w:eastAsia="zh-CN"/>
        </w:rPr>
        <w:t xml:space="preserve"> are points in cities where workers gather in the morning to wait for customers, who come from the mass of individual house owners and petty contractors to hire them for a specific project and time. Although there is no reliable data, there is anecdotal evidence that this section of the industry has increased in size in recent years. </w:t>
      </w:r>
    </w:p>
    <w:p w14:paraId="4F7C1DC0" w14:textId="77777777" w:rsidR="008632F2" w:rsidRPr="000E0C38" w:rsidRDefault="002E3E94" w:rsidP="00E237E7">
      <w:pPr>
        <w:pStyle w:val="Heading2"/>
        <w:spacing w:before="0"/>
        <w:rPr>
          <w:lang w:eastAsia="zh-CN"/>
        </w:rPr>
      </w:pPr>
      <w:bookmarkStart w:id="18" w:name="_Toc498019392"/>
      <w:r w:rsidRPr="000E0C38">
        <w:rPr>
          <w:lang w:eastAsia="zh-CN"/>
        </w:rPr>
        <w:t>2.2 Foreign</w:t>
      </w:r>
      <w:r w:rsidR="008632F2" w:rsidRPr="000E0C38">
        <w:rPr>
          <w:lang w:eastAsia="zh-CN"/>
        </w:rPr>
        <w:t xml:space="preserve"> contractors and labour migrants in civil works</w:t>
      </w:r>
      <w:bookmarkEnd w:id="18"/>
    </w:p>
    <w:p w14:paraId="678E3014"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Medium to large multinational firms in the construction industry (those with approximately USD$1 billion in annual turnover) are moving into new parts of the world. In a recent industry survey, 47 per cent of respondents indicated they were planning to move into new markets bot</w:t>
      </w:r>
      <w:r w:rsidR="00D73863" w:rsidRPr="000E0C38">
        <w:rPr>
          <w:rFonts w:ascii="Arial" w:eastAsia="SimSun" w:hAnsi="Arial" w:cs="Arial"/>
          <w:sz w:val="20"/>
          <w:szCs w:val="20"/>
          <w:lang w:eastAsia="zh-CN"/>
        </w:rPr>
        <w:t>h in the global North and South</w:t>
      </w:r>
      <w:r w:rsidRPr="000E0C38">
        <w:rPr>
          <w:rFonts w:ascii="Arial" w:eastAsia="SimSun" w:hAnsi="Arial" w:cs="Arial"/>
          <w:sz w:val="20"/>
          <w:szCs w:val="20"/>
          <w:lang w:eastAsia="zh-CN"/>
        </w:rPr>
        <w:t>.</w:t>
      </w:r>
      <w:r w:rsidRPr="000E0C38">
        <w:rPr>
          <w:rFonts w:ascii="Arial" w:eastAsia="SimSun" w:hAnsi="Arial" w:cs="Arial"/>
          <w:sz w:val="20"/>
          <w:szCs w:val="20"/>
          <w:vertAlign w:val="superscript"/>
          <w:lang w:eastAsia="zh-CN"/>
        </w:rPr>
        <w:footnoteReference w:id="35"/>
      </w:r>
      <w:r w:rsidRPr="000E0C38">
        <w:rPr>
          <w:rFonts w:ascii="Arial" w:eastAsia="SimSun" w:hAnsi="Arial" w:cs="Arial"/>
          <w:sz w:val="20"/>
          <w:szCs w:val="20"/>
          <w:lang w:eastAsia="zh-CN"/>
        </w:rPr>
        <w:t xml:space="preserve"> European and American contractor expansion models include high levels of technology and capital-intensive approaches, while Chinese and Indian contractors </w:t>
      </w:r>
      <w:r w:rsidR="00D73863" w:rsidRPr="000E0C38">
        <w:rPr>
          <w:rFonts w:ascii="Arial" w:eastAsia="SimSun" w:hAnsi="Arial" w:cs="Arial"/>
          <w:sz w:val="20"/>
          <w:szCs w:val="20"/>
          <w:lang w:eastAsia="zh-CN"/>
        </w:rPr>
        <w:t xml:space="preserve">tend to </w:t>
      </w:r>
      <w:r w:rsidRPr="000E0C38">
        <w:rPr>
          <w:rFonts w:ascii="Arial" w:eastAsia="SimSun" w:hAnsi="Arial" w:cs="Arial"/>
          <w:sz w:val="20"/>
          <w:szCs w:val="20"/>
          <w:lang w:eastAsia="zh-CN"/>
        </w:rPr>
        <w:t xml:space="preserve">rely </w:t>
      </w:r>
      <w:r w:rsidR="00A44B4A" w:rsidRPr="000E0C38">
        <w:rPr>
          <w:rFonts w:ascii="Arial" w:eastAsia="SimSun" w:hAnsi="Arial" w:cs="Arial"/>
          <w:sz w:val="20"/>
          <w:szCs w:val="20"/>
          <w:lang w:eastAsia="zh-CN"/>
        </w:rPr>
        <w:t xml:space="preserve">more heavily </w:t>
      </w:r>
      <w:r w:rsidRPr="000E0C38">
        <w:rPr>
          <w:rFonts w:ascii="Arial" w:eastAsia="SimSun" w:hAnsi="Arial" w:cs="Arial"/>
          <w:sz w:val="20"/>
          <w:szCs w:val="20"/>
          <w:lang w:eastAsia="zh-CN"/>
        </w:rPr>
        <w:t xml:space="preserve">on </w:t>
      </w:r>
      <w:r w:rsidR="00D73863" w:rsidRPr="000E0C38">
        <w:rPr>
          <w:rFonts w:ascii="Arial" w:eastAsia="SimSun" w:hAnsi="Arial" w:cs="Arial"/>
          <w:sz w:val="20"/>
          <w:szCs w:val="20"/>
          <w:lang w:eastAsia="zh-CN"/>
        </w:rPr>
        <w:t xml:space="preserve">labour intensive </w:t>
      </w:r>
      <w:r w:rsidR="00E237E7" w:rsidRPr="000E0C38">
        <w:rPr>
          <w:rFonts w:ascii="Arial" w:eastAsia="SimSun" w:hAnsi="Arial" w:cs="Arial"/>
          <w:sz w:val="20"/>
          <w:szCs w:val="20"/>
          <w:lang w:eastAsia="zh-CN"/>
        </w:rPr>
        <w:t>methods</w:t>
      </w:r>
      <w:r w:rsidRPr="000E0C38">
        <w:rPr>
          <w:rFonts w:ascii="Arial" w:eastAsia="SimSun" w:hAnsi="Arial" w:cs="Arial"/>
          <w:sz w:val="20"/>
          <w:szCs w:val="20"/>
          <w:lang w:eastAsia="zh-CN"/>
        </w:rPr>
        <w:t>.</w:t>
      </w:r>
      <w:r w:rsidRPr="000E0C38">
        <w:rPr>
          <w:rFonts w:ascii="Arial" w:eastAsia="SimSun" w:hAnsi="Arial" w:cs="Arial"/>
          <w:sz w:val="20"/>
          <w:szCs w:val="20"/>
          <w:vertAlign w:val="superscript"/>
          <w:lang w:eastAsia="zh-CN"/>
        </w:rPr>
        <w:footnoteReference w:id="36"/>
      </w:r>
      <w:r w:rsidRPr="000E0C38">
        <w:rPr>
          <w:rFonts w:ascii="Arial" w:eastAsia="SimSun" w:hAnsi="Arial" w:cs="Arial"/>
          <w:sz w:val="20"/>
          <w:szCs w:val="20"/>
          <w:lang w:eastAsia="zh-CN"/>
        </w:rPr>
        <w:t xml:space="preserve"> </w:t>
      </w:r>
      <w:r w:rsidR="00D73863" w:rsidRPr="000E0C38">
        <w:rPr>
          <w:rFonts w:ascii="Arial" w:eastAsia="SimSun" w:hAnsi="Arial" w:cs="Arial"/>
          <w:sz w:val="20"/>
          <w:szCs w:val="20"/>
          <w:lang w:eastAsia="zh-CN"/>
        </w:rPr>
        <w:t>Consequently, the</w:t>
      </w:r>
      <w:r w:rsidRPr="000E0C38">
        <w:rPr>
          <w:rFonts w:ascii="Arial" w:eastAsia="SimSun" w:hAnsi="Arial" w:cs="Arial"/>
          <w:sz w:val="20"/>
          <w:szCs w:val="20"/>
          <w:lang w:eastAsia="zh-CN"/>
        </w:rPr>
        <w:t xml:space="preserve"> expansion of large construction players can generate positive technol</w:t>
      </w:r>
      <w:r w:rsidR="00E237E7" w:rsidRPr="000E0C38">
        <w:rPr>
          <w:rFonts w:ascii="Arial" w:eastAsia="SimSun" w:hAnsi="Arial" w:cs="Arial"/>
          <w:sz w:val="20"/>
          <w:szCs w:val="20"/>
          <w:lang w:eastAsia="zh-CN"/>
        </w:rPr>
        <w:t xml:space="preserve">ogy </w:t>
      </w:r>
      <w:r w:rsidRPr="000E0C38">
        <w:rPr>
          <w:rFonts w:ascii="Arial" w:eastAsia="SimSun" w:hAnsi="Arial" w:cs="Arial"/>
          <w:sz w:val="20"/>
          <w:szCs w:val="20"/>
          <w:lang w:eastAsia="zh-CN"/>
        </w:rPr>
        <w:t xml:space="preserve">and skills </w:t>
      </w:r>
      <w:proofErr w:type="spellStart"/>
      <w:r w:rsidRPr="000E0C38">
        <w:rPr>
          <w:rFonts w:ascii="Arial" w:eastAsia="SimSun" w:hAnsi="Arial" w:cs="Arial"/>
          <w:sz w:val="20"/>
          <w:szCs w:val="20"/>
          <w:lang w:eastAsia="zh-CN"/>
        </w:rPr>
        <w:t>spil</w:t>
      </w:r>
      <w:r w:rsidR="00A95521" w:rsidRPr="000E0C38">
        <w:rPr>
          <w:rFonts w:ascii="Arial" w:eastAsia="SimSun" w:hAnsi="Arial" w:cs="Arial"/>
          <w:sz w:val="20"/>
          <w:szCs w:val="20"/>
          <w:lang w:eastAsia="zh-CN"/>
        </w:rPr>
        <w:t>l</w:t>
      </w:r>
      <w:r w:rsidRPr="000E0C38">
        <w:rPr>
          <w:rFonts w:ascii="Arial" w:eastAsia="SimSun" w:hAnsi="Arial" w:cs="Arial"/>
          <w:sz w:val="20"/>
          <w:szCs w:val="20"/>
          <w:lang w:eastAsia="zh-CN"/>
        </w:rPr>
        <w:t>overs</w:t>
      </w:r>
      <w:proofErr w:type="spellEnd"/>
      <w:r w:rsidR="00272322" w:rsidRPr="000E0C38">
        <w:rPr>
          <w:rFonts w:ascii="Arial" w:eastAsia="SimSun" w:hAnsi="Arial" w:cs="Arial"/>
          <w:sz w:val="20"/>
          <w:szCs w:val="20"/>
          <w:lang w:eastAsia="zh-CN"/>
        </w:rPr>
        <w:t xml:space="preserve"> </w:t>
      </w:r>
      <w:r w:rsidR="000455C5" w:rsidRPr="000E0C38">
        <w:rPr>
          <w:rFonts w:ascii="Arial" w:eastAsia="SimSun" w:hAnsi="Arial" w:cs="Arial"/>
          <w:sz w:val="20"/>
          <w:szCs w:val="20"/>
          <w:lang w:eastAsia="zh-CN"/>
        </w:rPr>
        <w:t>for</w:t>
      </w:r>
      <w:r w:rsidRPr="000E0C38">
        <w:rPr>
          <w:rFonts w:ascii="Arial" w:eastAsia="SimSun" w:hAnsi="Arial" w:cs="Arial"/>
          <w:sz w:val="20"/>
          <w:szCs w:val="20"/>
          <w:lang w:eastAsia="zh-CN"/>
        </w:rPr>
        <w:t xml:space="preserve"> small and medium local contracting companies and workers. The right policies and conditions are necessary for harnessing these benefits, including adequately trained workers </w:t>
      </w:r>
      <w:r w:rsidR="00E237E7" w:rsidRPr="000E0C38">
        <w:rPr>
          <w:rFonts w:ascii="Arial" w:eastAsia="SimSun" w:hAnsi="Arial" w:cs="Arial"/>
          <w:sz w:val="20"/>
          <w:szCs w:val="20"/>
          <w:lang w:eastAsia="zh-CN"/>
        </w:rPr>
        <w:t>and</w:t>
      </w:r>
      <w:r w:rsidRPr="000E0C38">
        <w:rPr>
          <w:rFonts w:ascii="Arial" w:eastAsia="SimSun" w:hAnsi="Arial" w:cs="Arial"/>
          <w:sz w:val="20"/>
          <w:szCs w:val="20"/>
          <w:lang w:eastAsia="zh-CN"/>
        </w:rPr>
        <w:t xml:space="preserve"> </w:t>
      </w:r>
      <w:r w:rsidR="00E237E7" w:rsidRPr="000E0C38">
        <w:rPr>
          <w:rFonts w:ascii="Arial" w:eastAsia="SimSun" w:hAnsi="Arial" w:cs="Arial"/>
          <w:sz w:val="20"/>
          <w:szCs w:val="20"/>
          <w:lang w:eastAsia="zh-CN"/>
        </w:rPr>
        <w:t xml:space="preserve">sufficient </w:t>
      </w:r>
      <w:r w:rsidRPr="000E0C38">
        <w:rPr>
          <w:rFonts w:ascii="Arial" w:eastAsia="SimSun" w:hAnsi="Arial" w:cs="Arial"/>
          <w:sz w:val="20"/>
          <w:szCs w:val="20"/>
          <w:lang w:eastAsia="zh-CN"/>
        </w:rPr>
        <w:t xml:space="preserve">management capacity </w:t>
      </w:r>
      <w:r w:rsidR="00E237E7" w:rsidRPr="000E0C38">
        <w:rPr>
          <w:rFonts w:ascii="Arial" w:eastAsia="SimSun" w:hAnsi="Arial" w:cs="Arial"/>
          <w:sz w:val="20"/>
          <w:szCs w:val="20"/>
          <w:lang w:eastAsia="zh-CN"/>
        </w:rPr>
        <w:t>in</w:t>
      </w:r>
      <w:r w:rsidRPr="000E0C38">
        <w:rPr>
          <w:rFonts w:ascii="Arial" w:eastAsia="SimSun" w:hAnsi="Arial" w:cs="Arial"/>
          <w:sz w:val="20"/>
          <w:szCs w:val="20"/>
          <w:lang w:eastAsia="zh-CN"/>
        </w:rPr>
        <w:t xml:space="preserve"> national firms. </w:t>
      </w:r>
      <w:r w:rsidR="00272322" w:rsidRPr="000E0C38">
        <w:rPr>
          <w:rFonts w:ascii="Arial" w:eastAsia="SimSun" w:hAnsi="Arial" w:cs="Arial"/>
          <w:sz w:val="20"/>
          <w:szCs w:val="20"/>
          <w:lang w:eastAsia="zh-CN"/>
        </w:rPr>
        <w:t xml:space="preserve">In large-scale projects with technology-intensive contractors, </w:t>
      </w:r>
      <w:r w:rsidRPr="000E0C38">
        <w:rPr>
          <w:rFonts w:ascii="Arial" w:eastAsia="SimSun" w:hAnsi="Arial" w:cs="Arial"/>
          <w:sz w:val="20"/>
          <w:szCs w:val="20"/>
          <w:lang w:eastAsia="zh-CN"/>
        </w:rPr>
        <w:t xml:space="preserve">national contractors </w:t>
      </w:r>
      <w:r w:rsidR="00272322" w:rsidRPr="000E0C38">
        <w:rPr>
          <w:rFonts w:ascii="Arial" w:eastAsia="SimSun" w:hAnsi="Arial" w:cs="Arial"/>
          <w:sz w:val="20"/>
          <w:szCs w:val="20"/>
          <w:lang w:eastAsia="zh-CN"/>
        </w:rPr>
        <w:t>need to reach</w:t>
      </w:r>
      <w:r w:rsidRPr="000E0C38">
        <w:rPr>
          <w:rFonts w:ascii="Arial" w:eastAsia="SimSun" w:hAnsi="Arial" w:cs="Arial"/>
          <w:sz w:val="20"/>
          <w:szCs w:val="20"/>
          <w:lang w:eastAsia="zh-CN"/>
        </w:rPr>
        <w:t xml:space="preserve"> a critical size and </w:t>
      </w:r>
      <w:r w:rsidR="00E237E7" w:rsidRPr="000E0C38">
        <w:rPr>
          <w:rFonts w:ascii="Arial" w:eastAsia="SimSun" w:hAnsi="Arial" w:cs="Arial"/>
          <w:sz w:val="20"/>
          <w:szCs w:val="20"/>
          <w:lang w:eastAsia="zh-CN"/>
        </w:rPr>
        <w:t xml:space="preserve">level of </w:t>
      </w:r>
      <w:r w:rsidRPr="000E0C38">
        <w:rPr>
          <w:rFonts w:ascii="Arial" w:eastAsia="SimSun" w:hAnsi="Arial" w:cs="Arial"/>
          <w:sz w:val="20"/>
          <w:szCs w:val="20"/>
          <w:lang w:eastAsia="zh-CN"/>
        </w:rPr>
        <w:t>management standards</w:t>
      </w:r>
      <w:r w:rsidR="00272322" w:rsidRPr="000E0C38">
        <w:rPr>
          <w:rFonts w:ascii="Arial" w:eastAsia="SimSun" w:hAnsi="Arial" w:cs="Arial"/>
          <w:sz w:val="20"/>
          <w:szCs w:val="20"/>
          <w:lang w:eastAsia="zh-CN"/>
        </w:rPr>
        <w:t xml:space="preserve"> in order to participate in such projects</w:t>
      </w:r>
      <w:r w:rsidRPr="000E0C38">
        <w:rPr>
          <w:rFonts w:ascii="Arial" w:eastAsia="SimSun" w:hAnsi="Arial" w:cs="Arial"/>
          <w:sz w:val="20"/>
          <w:szCs w:val="20"/>
          <w:lang w:eastAsia="zh-CN"/>
        </w:rPr>
        <w:t>.</w:t>
      </w:r>
      <w:r w:rsidR="00272322" w:rsidRPr="000E0C38">
        <w:rPr>
          <w:rFonts w:ascii="Arial" w:eastAsia="SimSun" w:hAnsi="Arial" w:cs="Arial"/>
          <w:sz w:val="20"/>
          <w:szCs w:val="20"/>
          <w:lang w:eastAsia="zh-CN"/>
        </w:rPr>
        <w:t xml:space="preserve"> However, labour-intensive projects allow for the participation of smaller contractors.</w:t>
      </w:r>
    </w:p>
    <w:p w14:paraId="78DB94AE" w14:textId="03385F21" w:rsidR="00593181"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Migrants – both temporary and long term – constitute an important component of the workforce in the construction industry. Contrary to other sectors with high foreign participation such as the health care sector, the construction sector relies on migrant labour often due to its seasonal and project-based nature, as well as its distinct spatial characteristics, i.e. construction cannot be moved elsewhere in the search for lower labour, input</w:t>
      </w:r>
      <w:r w:rsidR="003672AF"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or transport costs.</w:t>
      </w:r>
      <w:r w:rsidRPr="000E0C38">
        <w:rPr>
          <w:rFonts w:ascii="Arial" w:eastAsia="SimSun" w:hAnsi="Arial" w:cs="Arial"/>
          <w:sz w:val="20"/>
          <w:szCs w:val="20"/>
          <w:vertAlign w:val="superscript"/>
          <w:lang w:eastAsia="zh-CN"/>
        </w:rPr>
        <w:footnoteReference w:id="37"/>
      </w:r>
      <w:r w:rsidRPr="000E0C38">
        <w:rPr>
          <w:rFonts w:ascii="Arial" w:eastAsia="SimSun" w:hAnsi="Arial" w:cs="Arial"/>
          <w:sz w:val="20"/>
          <w:szCs w:val="20"/>
          <w:lang w:eastAsia="zh-CN"/>
        </w:rPr>
        <w:t xml:space="preserve"> Foreign workers tend to participate in big civil engineering and industrial construction projects, rather than residential and commercial construction of buildings. This is </w:t>
      </w:r>
      <w:r w:rsidR="00A44B4A" w:rsidRPr="000E0C38">
        <w:rPr>
          <w:rFonts w:ascii="Arial" w:eastAsia="SimSun" w:hAnsi="Arial" w:cs="Arial"/>
          <w:sz w:val="20"/>
          <w:szCs w:val="20"/>
          <w:lang w:eastAsia="zh-CN"/>
        </w:rPr>
        <w:t>because large</w:t>
      </w:r>
      <w:r w:rsidR="00DB3E09" w:rsidRPr="000E0C38">
        <w:rPr>
          <w:rFonts w:ascii="Arial" w:eastAsia="SimSun" w:hAnsi="Arial" w:cs="Arial"/>
          <w:sz w:val="20"/>
          <w:szCs w:val="20"/>
          <w:lang w:eastAsia="zh-CN"/>
        </w:rPr>
        <w:t>-scale</w:t>
      </w:r>
      <w:r w:rsidR="006E54C9"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 xml:space="preserve">construction contractors ship in workers for big projects </w:t>
      </w:r>
      <w:r w:rsidR="00A44B4A" w:rsidRPr="000E0C38">
        <w:rPr>
          <w:rFonts w:ascii="Arial" w:eastAsia="SimSun" w:hAnsi="Arial" w:cs="Arial"/>
          <w:sz w:val="20"/>
          <w:szCs w:val="20"/>
          <w:lang w:eastAsia="zh-CN"/>
        </w:rPr>
        <w:t>when large</w:t>
      </w:r>
      <w:r w:rsidRPr="000E0C38">
        <w:rPr>
          <w:rFonts w:ascii="Arial" w:eastAsia="SimSun" w:hAnsi="Arial" w:cs="Arial"/>
          <w:sz w:val="20"/>
          <w:szCs w:val="20"/>
          <w:lang w:eastAsia="zh-CN"/>
        </w:rPr>
        <w:t xml:space="preserve"> amounts of workforce power </w:t>
      </w:r>
      <w:r w:rsidR="00A44B4A" w:rsidRPr="000E0C38">
        <w:rPr>
          <w:rFonts w:ascii="Arial" w:eastAsia="SimSun" w:hAnsi="Arial" w:cs="Arial"/>
          <w:sz w:val="20"/>
          <w:szCs w:val="20"/>
          <w:lang w:eastAsia="zh-CN"/>
        </w:rPr>
        <w:t xml:space="preserve">need </w:t>
      </w:r>
      <w:r w:rsidRPr="000E0C38">
        <w:rPr>
          <w:rFonts w:ascii="Arial" w:eastAsia="SimSun" w:hAnsi="Arial" w:cs="Arial"/>
          <w:sz w:val="20"/>
          <w:szCs w:val="20"/>
          <w:lang w:eastAsia="zh-CN"/>
        </w:rPr>
        <w:t>to be deployed in short time.</w:t>
      </w:r>
    </w:p>
    <w:p w14:paraId="24A6168F" w14:textId="77777777" w:rsidR="00EE5618" w:rsidRPr="000E0C38" w:rsidRDefault="00EE5618" w:rsidP="008F4768">
      <w:pPr>
        <w:spacing w:after="120" w:line="276" w:lineRule="auto"/>
        <w:jc w:val="both"/>
        <w:rPr>
          <w:rFonts w:ascii="Arial" w:eastAsia="SimSun" w:hAnsi="Arial" w:cs="Arial"/>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497"/>
      </w:tblGrid>
      <w:tr w:rsidR="00E237E7" w:rsidRPr="000E0C38" w14:paraId="4676AE3B" w14:textId="77777777" w:rsidTr="00432BEF">
        <w:tc>
          <w:tcPr>
            <w:tcW w:w="9713" w:type="dxa"/>
            <w:shd w:val="clear" w:color="auto" w:fill="E7E6E6" w:themeFill="background2"/>
          </w:tcPr>
          <w:p w14:paraId="6794437F" w14:textId="7ECC2590" w:rsidR="00E237E7" w:rsidRPr="000E0C38" w:rsidRDefault="00076E1B" w:rsidP="00563705">
            <w:pPr>
              <w:pStyle w:val="BodyText"/>
              <w:spacing w:before="40" w:after="120" w:line="276" w:lineRule="auto"/>
              <w:rPr>
                <w:b/>
              </w:rPr>
            </w:pPr>
            <w:r w:rsidRPr="000E0C38">
              <w:rPr>
                <w:b/>
              </w:rPr>
              <w:lastRenderedPageBreak/>
              <w:t>BOX 1</w:t>
            </w:r>
            <w:r w:rsidR="00563705" w:rsidRPr="000E0C38">
              <w:rPr>
                <w:b/>
              </w:rPr>
              <w:t xml:space="preserve">: </w:t>
            </w:r>
            <w:r w:rsidR="00E237E7" w:rsidRPr="000E0C38">
              <w:rPr>
                <w:b/>
              </w:rPr>
              <w:t>China’s investment in the construction sector in Africa</w:t>
            </w:r>
          </w:p>
          <w:p w14:paraId="3DEE52D4" w14:textId="77777777" w:rsidR="00E237E7" w:rsidRPr="000E0C38" w:rsidRDefault="00E237E7" w:rsidP="008F4768">
            <w:pPr>
              <w:pStyle w:val="BodyText"/>
              <w:spacing w:after="120" w:line="276" w:lineRule="auto"/>
              <w:rPr>
                <w:rFonts w:eastAsia="SimSun"/>
                <w:lang w:eastAsia="zh-CN"/>
              </w:rPr>
            </w:pPr>
            <w:r w:rsidRPr="000E0C38">
              <w:rPr>
                <w:rFonts w:eastAsia="SimSun"/>
                <w:lang w:eastAsia="zh-CN"/>
              </w:rPr>
              <w:t xml:space="preserve">Chinese enterprises have increased their presence in Africa in the last decade, taking advantage of the Chinese Government's promise to fund projects in Africa. The value of trade between China and Africa increased from USD10 billion in 2000 to USD220 billion in 2014, although it has now fallen slightly because of lower commodity prices. China is now not only </w:t>
            </w:r>
            <w:r w:rsidR="003672AF" w:rsidRPr="000E0C38">
              <w:rPr>
                <w:rFonts w:eastAsia="SimSun"/>
                <w:lang w:eastAsia="zh-CN"/>
              </w:rPr>
              <w:t>a major</w:t>
            </w:r>
            <w:r w:rsidRPr="000E0C38">
              <w:rPr>
                <w:rFonts w:eastAsia="SimSun"/>
                <w:lang w:eastAsia="zh-CN"/>
              </w:rPr>
              <w:t xml:space="preserve"> trading partner, but also </w:t>
            </w:r>
            <w:r w:rsidR="003672AF" w:rsidRPr="000E0C38">
              <w:rPr>
                <w:rFonts w:eastAsia="SimSun"/>
                <w:lang w:eastAsia="zh-CN"/>
              </w:rPr>
              <w:t>a major infrastructure financier.</w:t>
            </w:r>
          </w:p>
          <w:p w14:paraId="7AEC53DF" w14:textId="77777777" w:rsidR="00E237E7" w:rsidRPr="000E0C38" w:rsidRDefault="003672AF" w:rsidP="008F4768">
            <w:pPr>
              <w:pStyle w:val="BodyText"/>
              <w:spacing w:after="120" w:line="276" w:lineRule="auto"/>
              <w:rPr>
                <w:rFonts w:eastAsia="SimSun"/>
                <w:lang w:eastAsia="zh-CN"/>
              </w:rPr>
            </w:pPr>
            <w:r w:rsidRPr="000E0C38">
              <w:rPr>
                <w:rFonts w:eastAsia="SimSun"/>
                <w:lang w:eastAsia="zh-CN"/>
              </w:rPr>
              <w:t>Infrastructure investment</w:t>
            </w:r>
            <w:r w:rsidR="00E237E7" w:rsidRPr="000E0C38">
              <w:rPr>
                <w:rFonts w:eastAsia="SimSun"/>
                <w:lang w:eastAsia="zh-CN"/>
              </w:rPr>
              <w:t xml:space="preserve"> is the key to China´s policy and strategy regarding Africa</w:t>
            </w:r>
            <w:r w:rsidRPr="000E0C38">
              <w:rPr>
                <w:rFonts w:eastAsia="SimSun"/>
                <w:lang w:eastAsia="zh-CN"/>
              </w:rPr>
              <w:t>. It has</w:t>
            </w:r>
            <w:r w:rsidR="00E237E7" w:rsidRPr="000E0C38">
              <w:rPr>
                <w:rFonts w:eastAsia="SimSun"/>
                <w:lang w:eastAsia="zh-CN"/>
              </w:rPr>
              <w:t xml:space="preserve"> enabled the development of much needed infrastructure projects, many of which would not have otherwise been built. The financial terms of the deals are usually kept secret, but it is generally believed that they take the form of concessional loans, with very low interest rates. Around 25 per cent (USD21 billion) of the total USD 83.4 billion committed to Africa's infrastructure development in 2015 came from China, making it the single-largest bilateral infrastructure financier. This is more than the combined total of the Infrastructure Consortium for Africa, whose members include the African Development Bank, the European Commission, the European Investment Bank, the International Finance Corporation, the World Bank, and the Group of Eight (G8) countries.</w:t>
            </w:r>
          </w:p>
          <w:p w14:paraId="575A8F71" w14:textId="77777777" w:rsidR="00E237E7" w:rsidRPr="000E0C38" w:rsidRDefault="00E237E7" w:rsidP="008F4768">
            <w:pPr>
              <w:pStyle w:val="BodyText"/>
              <w:spacing w:after="120" w:line="276" w:lineRule="auto"/>
              <w:rPr>
                <w:rFonts w:eastAsia="SimSun"/>
                <w:lang w:eastAsia="zh-CN"/>
              </w:rPr>
            </w:pPr>
            <w:r w:rsidRPr="000E0C38">
              <w:rPr>
                <w:rFonts w:eastAsia="SimSun"/>
                <w:lang w:eastAsia="zh-CN"/>
              </w:rPr>
              <w:t>There are currently more than 1,500 Chinese firms operating in the construction sector in Africa, and 90% of them are privatively owned. Chinese firms dominate nearly 50 per cent of Africa´s internationally-contracted construction market. Examples of Chinese financed infrastructure projects include</w:t>
            </w:r>
            <w:r w:rsidRPr="000E0C38">
              <w:rPr>
                <w:rStyle w:val="FootnoteReference"/>
                <w:rFonts w:eastAsia="SimSun"/>
                <w:lang w:eastAsia="zh-CN"/>
              </w:rPr>
              <w:footnoteRef/>
            </w:r>
            <w:r w:rsidRPr="000E0C38">
              <w:rPr>
                <w:rFonts w:eastAsia="SimSun"/>
                <w:lang w:eastAsia="zh-CN"/>
              </w:rPr>
              <w:t>:</w:t>
            </w:r>
            <w:r w:rsidRPr="000E0C38">
              <w:rPr>
                <w:rStyle w:val="FootnoteReference"/>
                <w:rFonts w:eastAsia="SimSun"/>
                <w:lang w:eastAsia="zh-CN"/>
              </w:rPr>
              <w:t xml:space="preserve"> </w:t>
            </w:r>
          </w:p>
          <w:p w14:paraId="483DBE96" w14:textId="77777777" w:rsidR="00E237E7" w:rsidRPr="000E0C38" w:rsidRDefault="00E237E7" w:rsidP="00831B36">
            <w:pPr>
              <w:pStyle w:val="BodyText"/>
              <w:numPr>
                <w:ilvl w:val="0"/>
                <w:numId w:val="23"/>
              </w:numPr>
              <w:spacing w:after="0" w:line="276" w:lineRule="auto"/>
              <w:ind w:left="425" w:hanging="425"/>
              <w:rPr>
                <w:rFonts w:eastAsia="SimSun"/>
              </w:rPr>
            </w:pPr>
            <w:r w:rsidRPr="000E0C38">
              <w:rPr>
                <w:rFonts w:eastAsia="SimSun"/>
                <w:b/>
              </w:rPr>
              <w:t>Mombasa-Nairobi Standard Gauge Railway (Kenya):</w:t>
            </w:r>
            <w:r w:rsidRPr="000E0C38">
              <w:rPr>
                <w:rFonts w:eastAsia="SimSun"/>
              </w:rPr>
              <w:t xml:space="preserve"> China EXIM Bank financed more than 90 percent of the USD3.8 billion. </w:t>
            </w:r>
          </w:p>
          <w:p w14:paraId="03C566D9" w14:textId="77777777" w:rsidR="00E237E7" w:rsidRPr="000E0C38" w:rsidRDefault="00E237E7" w:rsidP="00831B36">
            <w:pPr>
              <w:pStyle w:val="BodyText"/>
              <w:numPr>
                <w:ilvl w:val="0"/>
                <w:numId w:val="23"/>
              </w:numPr>
              <w:spacing w:after="0" w:line="276" w:lineRule="auto"/>
              <w:ind w:left="425" w:hanging="425"/>
              <w:rPr>
                <w:rFonts w:eastAsia="SimSun"/>
              </w:rPr>
            </w:pPr>
            <w:proofErr w:type="spellStart"/>
            <w:r w:rsidRPr="000E0C38">
              <w:rPr>
                <w:rFonts w:eastAsia="SimSun"/>
                <w:b/>
              </w:rPr>
              <w:t>Karuma</w:t>
            </w:r>
            <w:proofErr w:type="spellEnd"/>
            <w:r w:rsidRPr="000E0C38">
              <w:rPr>
                <w:rFonts w:eastAsia="SimSun"/>
                <w:b/>
              </w:rPr>
              <w:t xml:space="preserve"> Hydroelectric Power Station (Uganda)</w:t>
            </w:r>
            <w:r w:rsidRPr="000E0C38">
              <w:rPr>
                <w:rFonts w:eastAsia="SimSun"/>
              </w:rPr>
              <w:t xml:space="preserve">: Chinese institutions financed most of the USD1.7 billion. </w:t>
            </w:r>
          </w:p>
          <w:p w14:paraId="47074AF4" w14:textId="77777777" w:rsidR="00E237E7" w:rsidRPr="000E0C38" w:rsidRDefault="00E237E7" w:rsidP="00831B36">
            <w:pPr>
              <w:pStyle w:val="BodyText"/>
              <w:numPr>
                <w:ilvl w:val="0"/>
                <w:numId w:val="23"/>
              </w:numPr>
              <w:spacing w:after="0" w:line="276" w:lineRule="auto"/>
              <w:ind w:left="425" w:hanging="425"/>
              <w:rPr>
                <w:rFonts w:eastAsia="SimSun"/>
              </w:rPr>
            </w:pPr>
            <w:proofErr w:type="spellStart"/>
            <w:r w:rsidRPr="000E0C38">
              <w:rPr>
                <w:rFonts w:eastAsia="SimSun"/>
                <w:b/>
              </w:rPr>
              <w:t>Lekki</w:t>
            </w:r>
            <w:proofErr w:type="spellEnd"/>
            <w:r w:rsidRPr="000E0C38">
              <w:rPr>
                <w:rFonts w:eastAsia="SimSun"/>
                <w:b/>
              </w:rPr>
              <w:t xml:space="preserve"> and </w:t>
            </w:r>
            <w:proofErr w:type="spellStart"/>
            <w:r w:rsidRPr="000E0C38">
              <w:rPr>
                <w:rFonts w:eastAsia="SimSun"/>
                <w:b/>
              </w:rPr>
              <w:t>Badagry</w:t>
            </w:r>
            <w:proofErr w:type="spellEnd"/>
            <w:r w:rsidRPr="000E0C38">
              <w:rPr>
                <w:rFonts w:eastAsia="SimSun"/>
                <w:b/>
              </w:rPr>
              <w:t xml:space="preserve"> Ports and the </w:t>
            </w:r>
            <w:proofErr w:type="spellStart"/>
            <w:r w:rsidRPr="000E0C38">
              <w:rPr>
                <w:rFonts w:eastAsia="SimSun"/>
                <w:b/>
              </w:rPr>
              <w:t>Lekki</w:t>
            </w:r>
            <w:proofErr w:type="spellEnd"/>
            <w:r w:rsidRPr="000E0C38">
              <w:rPr>
                <w:rFonts w:eastAsia="SimSun"/>
                <w:b/>
              </w:rPr>
              <w:t xml:space="preserve"> Free Trade Zone (Nigeria):</w:t>
            </w:r>
            <w:r w:rsidRPr="000E0C38">
              <w:rPr>
                <w:rFonts w:eastAsia="SimSun"/>
              </w:rPr>
              <w:t xml:space="preserve"> The China Harbour Engineering Company has committed to invest USD1.5 billion in both projects.</w:t>
            </w:r>
          </w:p>
          <w:p w14:paraId="7DD34E59" w14:textId="77777777" w:rsidR="00E237E7" w:rsidRPr="000E0C38" w:rsidRDefault="00E237E7" w:rsidP="00831B36">
            <w:pPr>
              <w:pStyle w:val="BodyText"/>
              <w:numPr>
                <w:ilvl w:val="0"/>
                <w:numId w:val="23"/>
              </w:numPr>
              <w:spacing w:after="120" w:line="276" w:lineRule="auto"/>
              <w:ind w:left="426" w:hanging="426"/>
              <w:rPr>
                <w:rFonts w:eastAsia="SimSun"/>
              </w:rPr>
            </w:pPr>
            <w:r w:rsidRPr="000E0C38">
              <w:rPr>
                <w:rFonts w:eastAsia="SimSun"/>
                <w:b/>
              </w:rPr>
              <w:t>Ethiopian Industrial parks:</w:t>
            </w:r>
            <w:r w:rsidRPr="000E0C38">
              <w:rPr>
                <w:rFonts w:eastAsia="SimSun"/>
              </w:rPr>
              <w:t xml:space="preserve"> The China Civil Engineering Construction Company recently completed the </w:t>
            </w:r>
            <w:proofErr w:type="spellStart"/>
            <w:r w:rsidRPr="000E0C38">
              <w:rPr>
                <w:rFonts w:eastAsia="SimSun"/>
              </w:rPr>
              <w:t>Hawassa</w:t>
            </w:r>
            <w:proofErr w:type="spellEnd"/>
            <w:r w:rsidRPr="000E0C38">
              <w:rPr>
                <w:rFonts w:eastAsia="SimSun"/>
              </w:rPr>
              <w:t xml:space="preserve"> Industrial Park to serve textile and clothing producers. The same company built the Dire </w:t>
            </w:r>
            <w:proofErr w:type="spellStart"/>
            <w:r w:rsidRPr="000E0C38">
              <w:rPr>
                <w:rFonts w:eastAsia="SimSun"/>
              </w:rPr>
              <w:t>Dawa</w:t>
            </w:r>
            <w:proofErr w:type="spellEnd"/>
            <w:r w:rsidRPr="000E0C38">
              <w:rPr>
                <w:rFonts w:eastAsia="SimSun"/>
              </w:rPr>
              <w:t xml:space="preserve"> and </w:t>
            </w:r>
            <w:proofErr w:type="spellStart"/>
            <w:r w:rsidRPr="000E0C38">
              <w:rPr>
                <w:rFonts w:eastAsia="SimSun"/>
              </w:rPr>
              <w:t>Adama</w:t>
            </w:r>
            <w:proofErr w:type="spellEnd"/>
            <w:r w:rsidRPr="000E0C38">
              <w:rPr>
                <w:rFonts w:eastAsia="SimSun"/>
              </w:rPr>
              <w:t xml:space="preserve"> industrial parks at a combined cost of USD 315 million and it is expected that Chinese contractors will construct most of the nine projected industrial parks.</w:t>
            </w:r>
          </w:p>
          <w:p w14:paraId="2E71B920" w14:textId="77777777" w:rsidR="00E237E7" w:rsidRPr="000E0C38" w:rsidRDefault="00E237E7" w:rsidP="008F4768">
            <w:pPr>
              <w:pStyle w:val="BodyText"/>
              <w:spacing w:after="120" w:line="276" w:lineRule="auto"/>
              <w:rPr>
                <w:lang w:eastAsia="zh-CN"/>
              </w:rPr>
            </w:pPr>
            <w:r w:rsidRPr="000E0C38">
              <w:t xml:space="preserve">Chinese success </w:t>
            </w:r>
            <w:r w:rsidR="003672AF" w:rsidRPr="000E0C38">
              <w:t xml:space="preserve">in </w:t>
            </w:r>
            <w:r w:rsidRPr="000E0C38">
              <w:t xml:space="preserve">Africa </w:t>
            </w:r>
            <w:r w:rsidR="003672AF" w:rsidRPr="000E0C38">
              <w:t>is based on</w:t>
            </w:r>
            <w:r w:rsidRPr="000E0C38">
              <w:t xml:space="preserve"> three factors: lower costs, higher commitment</w:t>
            </w:r>
            <w:r w:rsidR="003672AF" w:rsidRPr="000E0C38">
              <w:t>,</w:t>
            </w:r>
            <w:r w:rsidRPr="000E0C38">
              <w:t xml:space="preserve"> and speedy delivery.</w:t>
            </w:r>
            <w:r w:rsidRPr="000E0C38">
              <w:rPr>
                <w:lang w:eastAsia="zh-CN"/>
              </w:rPr>
              <w:t xml:space="preserve"> Chinese contractors have some of the most efficient cost structures in the world. The Chinese government’s financing of African infrastructure has helped Chinese contractors win some bids, but even in open-tender projects sponsored by the World Bank, Chinese firms are the biggest winners, winning 42 percent of contracts by value.</w:t>
            </w:r>
            <w:r w:rsidRPr="000E0C38">
              <w:rPr>
                <w:rStyle w:val="FootnoteReference"/>
                <w:rFonts w:eastAsia="SimSun"/>
                <w:lang w:eastAsia="zh-CN"/>
              </w:rPr>
              <w:footnoteRef/>
            </w:r>
            <w:r w:rsidRPr="000E0C38">
              <w:rPr>
                <w:lang w:eastAsia="zh-CN"/>
              </w:rPr>
              <w:t xml:space="preserve"> In some cases Chinese firms </w:t>
            </w:r>
            <w:r w:rsidR="003672AF" w:rsidRPr="000E0C38">
              <w:rPr>
                <w:lang w:eastAsia="zh-CN"/>
              </w:rPr>
              <w:t>are</w:t>
            </w:r>
            <w:r w:rsidRPr="000E0C38">
              <w:rPr>
                <w:lang w:eastAsia="zh-CN"/>
              </w:rPr>
              <w:t xml:space="preserve"> 40 percent cheaper than the next lowest bid for similar levels of quality.</w:t>
            </w:r>
          </w:p>
          <w:p w14:paraId="7EE586F0" w14:textId="77777777" w:rsidR="00A94109" w:rsidRPr="000E0C38" w:rsidRDefault="00A94109" w:rsidP="008F4768">
            <w:pPr>
              <w:pStyle w:val="BodyText"/>
              <w:spacing w:after="120" w:line="276" w:lineRule="auto"/>
            </w:pPr>
            <w:r w:rsidRPr="000E0C38">
              <w:rPr>
                <w:i/>
                <w:sz w:val="16"/>
                <w:szCs w:val="16"/>
                <w:lang w:eastAsia="zh-CN"/>
              </w:rPr>
              <w:t xml:space="preserve">Source: </w:t>
            </w:r>
            <w:r w:rsidRPr="000E0C38">
              <w:rPr>
                <w:i/>
                <w:sz w:val="16"/>
                <w:szCs w:val="16"/>
              </w:rPr>
              <w:t>McKinsey and Company (2017)</w:t>
            </w:r>
          </w:p>
        </w:tc>
      </w:tr>
    </w:tbl>
    <w:p w14:paraId="5206EFD0" w14:textId="77777777" w:rsidR="00E237E7" w:rsidRPr="000E0C38" w:rsidRDefault="00E237E7" w:rsidP="003672AF">
      <w:pPr>
        <w:jc w:val="both"/>
        <w:rPr>
          <w:rFonts w:ascii="Arial" w:eastAsia="SimSun" w:hAnsi="Arial" w:cs="Arial"/>
          <w:sz w:val="20"/>
          <w:szCs w:val="20"/>
          <w:lang w:eastAsia="zh-CN"/>
        </w:rPr>
      </w:pPr>
    </w:p>
    <w:p w14:paraId="6F2AEB5B"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Foreign parti</w:t>
      </w:r>
      <w:r w:rsidR="006E54C9" w:rsidRPr="000E0C38">
        <w:rPr>
          <w:rFonts w:ascii="Arial" w:eastAsia="SimSun" w:hAnsi="Arial" w:cs="Arial"/>
          <w:sz w:val="20"/>
          <w:szCs w:val="20"/>
          <w:lang w:eastAsia="zh-CN"/>
        </w:rPr>
        <w:t xml:space="preserve">cipation of workers is </w:t>
      </w:r>
      <w:r w:rsidR="00A95521" w:rsidRPr="000E0C38">
        <w:rPr>
          <w:rFonts w:ascii="Arial" w:eastAsia="SimSun" w:hAnsi="Arial" w:cs="Arial"/>
          <w:sz w:val="20"/>
          <w:szCs w:val="20"/>
          <w:lang w:eastAsia="zh-CN"/>
        </w:rPr>
        <w:t>often</w:t>
      </w:r>
      <w:r w:rsidRPr="000E0C38">
        <w:rPr>
          <w:rFonts w:ascii="Arial" w:eastAsia="SimSun" w:hAnsi="Arial" w:cs="Arial"/>
          <w:sz w:val="20"/>
          <w:szCs w:val="20"/>
          <w:lang w:eastAsia="zh-CN"/>
        </w:rPr>
        <w:t xml:space="preserve"> not recorded in national statistics in developing countries for political and economic reasons, but there is increasing evidence that migration through temporary forms of residency (for example, international student visas, circular and </w:t>
      </w:r>
      <w:proofErr w:type="spellStart"/>
      <w:r w:rsidRPr="000E0C38">
        <w:rPr>
          <w:rFonts w:ascii="Arial" w:eastAsia="SimSun" w:hAnsi="Arial" w:cs="Arial"/>
          <w:sz w:val="20"/>
          <w:szCs w:val="20"/>
          <w:lang w:eastAsia="zh-CN"/>
        </w:rPr>
        <w:t>multilocational</w:t>
      </w:r>
      <w:proofErr w:type="spellEnd"/>
      <w:r w:rsidRPr="000E0C38">
        <w:rPr>
          <w:rFonts w:ascii="Arial" w:eastAsia="SimSun" w:hAnsi="Arial" w:cs="Arial"/>
          <w:sz w:val="20"/>
          <w:szCs w:val="20"/>
          <w:lang w:eastAsia="zh-CN"/>
        </w:rPr>
        <w:t xml:space="preserve"> migration, working hol</w:t>
      </w:r>
      <w:r w:rsidR="00272322" w:rsidRPr="000E0C38">
        <w:rPr>
          <w:rFonts w:ascii="Arial" w:eastAsia="SimSun" w:hAnsi="Arial" w:cs="Arial"/>
          <w:sz w:val="20"/>
          <w:szCs w:val="20"/>
          <w:lang w:eastAsia="zh-CN"/>
        </w:rPr>
        <w:t>iday visas, temporary work visa schemes</w:t>
      </w:r>
      <w:r w:rsidRPr="000E0C38">
        <w:rPr>
          <w:rFonts w:ascii="Arial" w:eastAsia="SimSun" w:hAnsi="Arial" w:cs="Arial"/>
          <w:sz w:val="20"/>
          <w:szCs w:val="20"/>
          <w:lang w:eastAsia="zh-CN"/>
        </w:rPr>
        <w:t>, and asylum claims) is becoming more commonplace in DFID countries of focus.</w:t>
      </w:r>
      <w:r w:rsidRPr="000E0C38">
        <w:rPr>
          <w:rFonts w:ascii="Arial" w:eastAsia="SimSun" w:hAnsi="Arial" w:cs="Arial"/>
          <w:sz w:val="20"/>
          <w:szCs w:val="20"/>
          <w:vertAlign w:val="superscript"/>
          <w:lang w:eastAsia="zh-CN"/>
        </w:rPr>
        <w:footnoteReference w:id="38"/>
      </w:r>
      <w:r w:rsidRPr="000E0C38">
        <w:rPr>
          <w:rFonts w:ascii="Arial" w:eastAsia="SimSun" w:hAnsi="Arial" w:cs="Arial"/>
          <w:sz w:val="20"/>
          <w:szCs w:val="20"/>
          <w:lang w:eastAsia="zh-CN"/>
        </w:rPr>
        <w:t xml:space="preserve"> </w:t>
      </w:r>
    </w:p>
    <w:p w14:paraId="5C93F85E" w14:textId="77777777" w:rsidR="00D73863" w:rsidRPr="000E0C38" w:rsidRDefault="008632F2" w:rsidP="00432BEF">
      <w:pPr>
        <w:spacing w:after="120" w:line="276" w:lineRule="auto"/>
        <w:jc w:val="both"/>
        <w:rPr>
          <w:lang w:eastAsia="zh-CN"/>
        </w:rPr>
      </w:pPr>
      <w:r w:rsidRPr="000E0C38">
        <w:rPr>
          <w:rFonts w:ascii="Arial" w:eastAsia="SimSun" w:hAnsi="Arial" w:cs="Arial"/>
          <w:sz w:val="20"/>
          <w:szCs w:val="20"/>
          <w:lang w:eastAsia="zh-CN"/>
        </w:rPr>
        <w:t>The emergence of regional and international construction labour markets</w:t>
      </w:r>
      <w:r w:rsidRPr="000E0C38">
        <w:rPr>
          <w:rFonts w:ascii="Arial" w:eastAsia="SimSun" w:hAnsi="Arial" w:cs="Arial"/>
          <w:sz w:val="20"/>
          <w:szCs w:val="20"/>
          <w:vertAlign w:val="superscript"/>
          <w:lang w:eastAsia="zh-CN"/>
        </w:rPr>
        <w:footnoteReference w:id="39"/>
      </w:r>
      <w:r w:rsidRPr="000E0C38">
        <w:rPr>
          <w:rFonts w:ascii="Arial" w:eastAsia="SimSun" w:hAnsi="Arial" w:cs="Arial"/>
          <w:sz w:val="20"/>
          <w:szCs w:val="20"/>
          <w:lang w:eastAsia="zh-CN"/>
        </w:rPr>
        <w:t xml:space="preserve"> means that </w:t>
      </w:r>
      <w:r w:rsidR="00272322" w:rsidRPr="000E0C38">
        <w:rPr>
          <w:rFonts w:ascii="Arial" w:eastAsia="SimSun" w:hAnsi="Arial" w:cs="Arial"/>
          <w:sz w:val="20"/>
          <w:szCs w:val="20"/>
          <w:lang w:eastAsia="zh-CN"/>
        </w:rPr>
        <w:t xml:space="preserve">comparatively </w:t>
      </w:r>
      <w:r w:rsidRPr="000E0C38">
        <w:rPr>
          <w:rFonts w:ascii="Arial" w:eastAsia="SimSun" w:hAnsi="Arial" w:cs="Arial"/>
          <w:sz w:val="20"/>
          <w:szCs w:val="20"/>
          <w:lang w:eastAsia="zh-CN"/>
        </w:rPr>
        <w:t xml:space="preserve">more </w:t>
      </w:r>
      <w:r w:rsidR="00272322" w:rsidRPr="000E0C38">
        <w:rPr>
          <w:rFonts w:ascii="Arial" w:eastAsia="SimSun" w:hAnsi="Arial" w:cs="Arial"/>
          <w:sz w:val="20"/>
          <w:szCs w:val="20"/>
          <w:lang w:eastAsia="zh-CN"/>
        </w:rPr>
        <w:t>advanced</w:t>
      </w:r>
      <w:r w:rsidRPr="000E0C38">
        <w:rPr>
          <w:rFonts w:ascii="Arial" w:eastAsia="SimSun" w:hAnsi="Arial" w:cs="Arial"/>
          <w:sz w:val="20"/>
          <w:szCs w:val="20"/>
          <w:lang w:eastAsia="zh-CN"/>
        </w:rPr>
        <w:t xml:space="preserve"> countries with higher wages </w:t>
      </w:r>
      <w:r w:rsidR="006B34A9" w:rsidRPr="000E0C38">
        <w:rPr>
          <w:rFonts w:ascii="Arial" w:eastAsia="SimSun" w:hAnsi="Arial" w:cs="Arial"/>
          <w:sz w:val="20"/>
          <w:szCs w:val="20"/>
          <w:lang w:eastAsia="zh-CN"/>
        </w:rPr>
        <w:t>within the group of D</w:t>
      </w:r>
      <w:r w:rsidR="003672AF" w:rsidRPr="000E0C38">
        <w:rPr>
          <w:rFonts w:ascii="Arial" w:eastAsia="SimSun" w:hAnsi="Arial" w:cs="Arial"/>
          <w:sz w:val="20"/>
          <w:szCs w:val="20"/>
          <w:lang w:eastAsia="zh-CN"/>
        </w:rPr>
        <w:t>F</w:t>
      </w:r>
      <w:r w:rsidR="006B34A9" w:rsidRPr="000E0C38">
        <w:rPr>
          <w:rFonts w:ascii="Arial" w:eastAsia="SimSun" w:hAnsi="Arial" w:cs="Arial"/>
          <w:sz w:val="20"/>
          <w:szCs w:val="20"/>
          <w:lang w:eastAsia="zh-CN"/>
        </w:rPr>
        <w:t>ID countries</w:t>
      </w:r>
      <w:r w:rsidRPr="000E0C38">
        <w:rPr>
          <w:rFonts w:ascii="Arial" w:eastAsia="SimSun" w:hAnsi="Arial" w:cs="Arial"/>
          <w:sz w:val="20"/>
          <w:szCs w:val="20"/>
          <w:lang w:eastAsia="zh-CN"/>
        </w:rPr>
        <w:t xml:space="preserve"> (such as South Africa) absorb unskilled domestic and regional migrants, generating downward pressures on wages and harsh working conditions for </w:t>
      </w:r>
      <w:r w:rsidR="00633350" w:rsidRPr="000E0C38">
        <w:rPr>
          <w:rFonts w:ascii="Arial" w:eastAsia="SimSun" w:hAnsi="Arial" w:cs="Arial"/>
          <w:sz w:val="20"/>
          <w:szCs w:val="20"/>
          <w:lang w:eastAsia="zh-CN"/>
        </w:rPr>
        <w:t>both migrant and local</w:t>
      </w:r>
      <w:r w:rsidRPr="000E0C38">
        <w:rPr>
          <w:rFonts w:ascii="Arial" w:eastAsia="SimSun" w:hAnsi="Arial" w:cs="Arial"/>
          <w:sz w:val="20"/>
          <w:szCs w:val="20"/>
          <w:lang w:eastAsia="zh-CN"/>
        </w:rPr>
        <w:t xml:space="preserve"> workers.</w:t>
      </w:r>
      <w:r w:rsidRPr="000E0C38">
        <w:rPr>
          <w:rFonts w:ascii="Arial" w:eastAsia="SimSun" w:hAnsi="Arial" w:cs="Arial"/>
          <w:sz w:val="20"/>
          <w:szCs w:val="20"/>
          <w:vertAlign w:val="superscript"/>
          <w:lang w:eastAsia="zh-CN"/>
        </w:rPr>
        <w:footnoteReference w:id="40"/>
      </w:r>
      <w:r w:rsidRPr="000E0C38">
        <w:rPr>
          <w:rFonts w:ascii="Arial" w:eastAsia="SimSun" w:hAnsi="Arial" w:cs="Arial"/>
          <w:sz w:val="20"/>
          <w:szCs w:val="20"/>
          <w:lang w:eastAsia="zh-CN"/>
        </w:rPr>
        <w:t xml:space="preserve"> On the other hand, large international contractors from </w:t>
      </w:r>
      <w:r w:rsidRPr="000E0C38">
        <w:rPr>
          <w:rFonts w:ascii="Arial" w:eastAsia="SimSun" w:hAnsi="Arial" w:cs="Arial"/>
          <w:sz w:val="20"/>
          <w:szCs w:val="20"/>
          <w:lang w:eastAsia="zh-CN"/>
        </w:rPr>
        <w:lastRenderedPageBreak/>
        <w:t xml:space="preserve">countries with sizable construction sectors </w:t>
      </w:r>
      <w:r w:rsidR="00633350" w:rsidRPr="000E0C38">
        <w:rPr>
          <w:rFonts w:ascii="Arial" w:eastAsia="SimSun" w:hAnsi="Arial" w:cs="Arial"/>
          <w:sz w:val="20"/>
          <w:szCs w:val="20"/>
          <w:lang w:eastAsia="zh-CN"/>
        </w:rPr>
        <w:t>such as China have been said to rely</w:t>
      </w:r>
      <w:r w:rsidRPr="000E0C38">
        <w:rPr>
          <w:rFonts w:ascii="Arial" w:eastAsia="SimSun" w:hAnsi="Arial" w:cs="Arial"/>
          <w:sz w:val="20"/>
          <w:szCs w:val="20"/>
          <w:lang w:eastAsia="zh-CN"/>
        </w:rPr>
        <w:t xml:space="preserve"> on large amounts of technically qualified </w:t>
      </w:r>
      <w:r w:rsidR="00633350" w:rsidRPr="000E0C38">
        <w:rPr>
          <w:rFonts w:ascii="Arial" w:eastAsia="SimSun" w:hAnsi="Arial" w:cs="Arial"/>
          <w:sz w:val="20"/>
          <w:szCs w:val="20"/>
          <w:lang w:eastAsia="zh-CN"/>
        </w:rPr>
        <w:t xml:space="preserve">migrant </w:t>
      </w:r>
      <w:r w:rsidRPr="000E0C38">
        <w:rPr>
          <w:rFonts w:ascii="Arial" w:eastAsia="SimSun" w:hAnsi="Arial" w:cs="Arial"/>
          <w:sz w:val="20"/>
          <w:szCs w:val="20"/>
          <w:lang w:eastAsia="zh-CN"/>
        </w:rPr>
        <w:t>workers (such as carpenters or electricians) to deliver their projects; limiting the employment and skills development of local workers.</w:t>
      </w:r>
      <w:r w:rsidRPr="000E0C38">
        <w:rPr>
          <w:rFonts w:ascii="Arial" w:eastAsia="SimSun" w:hAnsi="Arial" w:cs="Arial"/>
          <w:sz w:val="20"/>
          <w:szCs w:val="20"/>
          <w:vertAlign w:val="superscript"/>
          <w:lang w:eastAsia="zh-CN"/>
        </w:rPr>
        <w:footnoteReference w:id="41"/>
      </w:r>
    </w:p>
    <w:p w14:paraId="33AC2729" w14:textId="77777777" w:rsidR="008632F2" w:rsidRPr="000E0C38" w:rsidRDefault="00A72B87" w:rsidP="008F4768">
      <w:pPr>
        <w:pStyle w:val="Heading2"/>
        <w:spacing w:before="0"/>
        <w:rPr>
          <w:lang w:eastAsia="zh-CN"/>
        </w:rPr>
      </w:pPr>
      <w:bookmarkStart w:id="19" w:name="_Toc498019393"/>
      <w:r w:rsidRPr="000E0C38">
        <w:rPr>
          <w:lang w:eastAsia="zh-CN"/>
        </w:rPr>
        <w:t>2.3</w:t>
      </w:r>
      <w:r w:rsidR="00067D95" w:rsidRPr="000E0C38">
        <w:rPr>
          <w:lang w:eastAsia="zh-CN"/>
        </w:rPr>
        <w:t xml:space="preserve"> </w:t>
      </w:r>
      <w:r w:rsidR="001D319E" w:rsidRPr="000E0C38">
        <w:rPr>
          <w:lang w:eastAsia="zh-CN"/>
        </w:rPr>
        <w:t>Oc</w:t>
      </w:r>
      <w:r w:rsidR="00F5197B" w:rsidRPr="000E0C38">
        <w:rPr>
          <w:lang w:eastAsia="zh-CN"/>
        </w:rPr>
        <w:t xml:space="preserve">cupational </w:t>
      </w:r>
      <w:r w:rsidR="008632F2" w:rsidRPr="000E0C38">
        <w:rPr>
          <w:lang w:eastAsia="zh-CN"/>
        </w:rPr>
        <w:t>health and safety</w:t>
      </w:r>
      <w:r w:rsidR="00796D8D" w:rsidRPr="000E0C38">
        <w:rPr>
          <w:lang w:eastAsia="zh-CN"/>
        </w:rPr>
        <w:t xml:space="preserve"> conditions</w:t>
      </w:r>
      <w:bookmarkEnd w:id="19"/>
    </w:p>
    <w:p w14:paraId="6E6710C8" w14:textId="77777777" w:rsidR="008632F2" w:rsidRPr="000E0C38" w:rsidRDefault="00EA13CD" w:rsidP="008F4768">
      <w:pPr>
        <w:autoSpaceDE w:val="0"/>
        <w:autoSpaceDN w:val="0"/>
        <w:adjustRightInd w:val="0"/>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According to a recent ILO report on the construction sector, a</w:t>
      </w:r>
      <w:r w:rsidR="008632F2" w:rsidRPr="000E0C38">
        <w:rPr>
          <w:rFonts w:ascii="Arial" w:eastAsia="SimSun" w:hAnsi="Arial" w:cs="Arial"/>
          <w:sz w:val="20"/>
          <w:szCs w:val="20"/>
          <w:lang w:eastAsia="zh-CN"/>
        </w:rPr>
        <w:t>pproximately 17 per cent of fatal accidents reported globally take place in the construction sector, amounting to 60,000 fatal accidents per year.</w:t>
      </w:r>
      <w:r w:rsidR="008632F2" w:rsidRPr="000E0C38">
        <w:rPr>
          <w:rFonts w:ascii="Arial" w:eastAsia="SimSun" w:hAnsi="Arial" w:cs="Arial"/>
          <w:sz w:val="20"/>
          <w:szCs w:val="20"/>
          <w:vertAlign w:val="superscript"/>
          <w:lang w:eastAsia="zh-CN"/>
        </w:rPr>
        <w:footnoteReference w:id="42"/>
      </w:r>
      <w:r w:rsidR="008632F2" w:rsidRPr="000E0C38">
        <w:rPr>
          <w:rFonts w:ascii="Arial" w:eastAsia="SimSun" w:hAnsi="Arial" w:cs="Arial"/>
          <w:sz w:val="20"/>
          <w:szCs w:val="20"/>
          <w:lang w:eastAsia="zh-CN"/>
        </w:rPr>
        <w:t xml:space="preserve"> The fundamentally hazardous nature of the work, changing locations of construction sites and work environments, and high rates of staff turnover make construction the most dangerous sector. Workers face a range of occupational risks associated with biological, chemical, physical, ergonomic and psychosocial hazards. Safety and health data is scarce and comparability is difficult due to differences in collection and interpretation. Fatality rates also vary significantly from year to year and it is difficult to the detect causes of such changes. For instance, a decline in fatality rates may </w:t>
      </w:r>
      <w:r w:rsidR="00796D8D" w:rsidRPr="000E0C38">
        <w:rPr>
          <w:rFonts w:ascii="Arial" w:eastAsia="SimSun" w:hAnsi="Arial" w:cs="Arial"/>
          <w:sz w:val="20"/>
          <w:szCs w:val="20"/>
          <w:lang w:eastAsia="zh-CN"/>
        </w:rPr>
        <w:t xml:space="preserve">be due to </w:t>
      </w:r>
      <w:r w:rsidR="008632F2" w:rsidRPr="000E0C38">
        <w:rPr>
          <w:rFonts w:ascii="Arial" w:eastAsia="SimSun" w:hAnsi="Arial" w:cs="Arial"/>
          <w:sz w:val="20"/>
          <w:szCs w:val="20"/>
          <w:lang w:eastAsia="zh-CN"/>
        </w:rPr>
        <w:t>improvements in O</w:t>
      </w:r>
      <w:r w:rsidR="00584AFB" w:rsidRPr="000E0C38">
        <w:rPr>
          <w:rFonts w:ascii="Arial" w:eastAsia="SimSun" w:hAnsi="Arial" w:cs="Arial"/>
          <w:sz w:val="20"/>
          <w:szCs w:val="20"/>
          <w:lang w:eastAsia="zh-CN"/>
        </w:rPr>
        <w:t>SH</w:t>
      </w:r>
      <w:r w:rsidR="008632F2" w:rsidRPr="000E0C38">
        <w:rPr>
          <w:rFonts w:ascii="Arial" w:eastAsia="SimSun" w:hAnsi="Arial" w:cs="Arial"/>
          <w:sz w:val="20"/>
          <w:szCs w:val="20"/>
          <w:lang w:eastAsia="zh-CN"/>
        </w:rPr>
        <w:t xml:space="preserve"> regulations and compliance; or a decline in business activity; or changes in the way that data is recorded.</w:t>
      </w:r>
      <w:r w:rsidR="00693EAF" w:rsidRPr="000E0C38">
        <w:t xml:space="preserve"> </w:t>
      </w:r>
      <w:r w:rsidR="00693EAF" w:rsidRPr="000E0C38">
        <w:rPr>
          <w:rFonts w:ascii="Arial" w:eastAsia="SimSun" w:hAnsi="Arial" w:cs="Arial"/>
          <w:sz w:val="20"/>
          <w:szCs w:val="20"/>
          <w:lang w:eastAsia="zh-CN"/>
        </w:rPr>
        <w:t xml:space="preserve">In many LICs </w:t>
      </w:r>
      <w:r w:rsidR="00584AFB" w:rsidRPr="000E0C38">
        <w:rPr>
          <w:rFonts w:ascii="Arial" w:eastAsia="SimSun" w:hAnsi="Arial" w:cs="Arial"/>
          <w:sz w:val="20"/>
          <w:szCs w:val="20"/>
          <w:lang w:eastAsia="zh-CN"/>
        </w:rPr>
        <w:t>fatalities</w:t>
      </w:r>
      <w:r w:rsidR="00693EAF" w:rsidRPr="000E0C38">
        <w:rPr>
          <w:rFonts w:ascii="Arial" w:eastAsia="SimSun" w:hAnsi="Arial" w:cs="Arial"/>
          <w:sz w:val="20"/>
          <w:szCs w:val="20"/>
          <w:lang w:eastAsia="zh-CN"/>
        </w:rPr>
        <w:t xml:space="preserve"> are underreported due to weak institutional records, but also due to insurance consequences of reporting deaths at work.</w:t>
      </w:r>
    </w:p>
    <w:p w14:paraId="02FBAE0A"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Worldwide, the construction industry accident fatality rate stands at more than double that of the ‘all-sector’ average. It is estimated that fatality rates in the least developed countries may be more than double the rates in developed economies, although reliable evidence is difficult to obtain.</w:t>
      </w:r>
      <w:r w:rsidRPr="000E0C38">
        <w:rPr>
          <w:rFonts w:ascii="Arial" w:eastAsia="SimSun" w:hAnsi="Arial" w:cs="Arial"/>
          <w:sz w:val="20"/>
          <w:szCs w:val="20"/>
          <w:vertAlign w:val="superscript"/>
          <w:lang w:eastAsia="zh-CN"/>
        </w:rPr>
        <w:footnoteReference w:id="43"/>
      </w:r>
      <w:r w:rsidRPr="000E0C38">
        <w:rPr>
          <w:rFonts w:ascii="Arial" w:eastAsia="SimSun" w:hAnsi="Arial" w:cs="Arial"/>
          <w:sz w:val="20"/>
          <w:szCs w:val="20"/>
          <w:lang w:eastAsia="zh-CN"/>
        </w:rPr>
        <w:t xml:space="preserve"> For instance, a recent study estimated that in the Indian construction sector, the number of fatal accidents could be anywhere from 11,614 to 22,080 each year (out of a total of 51 million construction workers).</w:t>
      </w:r>
      <w:r w:rsidRPr="000E0C38">
        <w:rPr>
          <w:rFonts w:ascii="Arial" w:eastAsia="SimSun" w:hAnsi="Arial" w:cs="Arial"/>
          <w:sz w:val="20"/>
          <w:szCs w:val="20"/>
          <w:vertAlign w:val="superscript"/>
          <w:lang w:eastAsia="zh-CN"/>
        </w:rPr>
        <w:footnoteReference w:id="44"/>
      </w:r>
      <w:r w:rsidRPr="000E0C38">
        <w:rPr>
          <w:rFonts w:ascii="Arial" w:eastAsia="SimSun" w:hAnsi="Arial" w:cs="Arial"/>
          <w:sz w:val="20"/>
          <w:szCs w:val="20"/>
          <w:lang w:eastAsia="zh-CN"/>
        </w:rPr>
        <w:t xml:space="preserve"> This represents around 24 per cent of all occupational accidents occurring in India annuall</w:t>
      </w:r>
      <w:r w:rsidR="00584AFB" w:rsidRPr="000E0C38">
        <w:rPr>
          <w:rFonts w:ascii="Arial" w:eastAsia="SimSun" w:hAnsi="Arial" w:cs="Arial"/>
          <w:sz w:val="20"/>
          <w:szCs w:val="20"/>
          <w:lang w:eastAsia="zh-CN"/>
        </w:rPr>
        <w:t>y.</w:t>
      </w:r>
    </w:p>
    <w:p w14:paraId="0C505FF9" w14:textId="49130525" w:rsidR="008632F2" w:rsidRPr="000E0C38" w:rsidRDefault="00693EAF"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Worldwide, a</w:t>
      </w:r>
      <w:r w:rsidR="004C71A2" w:rsidRPr="000E0C38">
        <w:rPr>
          <w:rFonts w:ascii="Arial" w:eastAsia="SimSun" w:hAnsi="Arial" w:cs="Arial"/>
          <w:sz w:val="20"/>
          <w:szCs w:val="20"/>
          <w:lang w:eastAsia="zh-CN"/>
        </w:rPr>
        <w:t>round 22</w:t>
      </w:r>
      <w:r w:rsidR="008632F2" w:rsidRPr="000E0C38">
        <w:rPr>
          <w:rFonts w:ascii="Arial" w:eastAsia="SimSun" w:hAnsi="Arial" w:cs="Arial"/>
          <w:sz w:val="20"/>
          <w:szCs w:val="20"/>
          <w:lang w:eastAsia="zh-CN"/>
        </w:rPr>
        <w:t xml:space="preserve"> construction workers die annually </w:t>
      </w:r>
      <w:r w:rsidRPr="000E0C38">
        <w:rPr>
          <w:rFonts w:ascii="Arial" w:eastAsia="SimSun" w:hAnsi="Arial" w:cs="Arial"/>
          <w:sz w:val="20"/>
          <w:szCs w:val="20"/>
          <w:lang w:eastAsia="zh-CN"/>
        </w:rPr>
        <w:t>for every</w:t>
      </w:r>
      <w:r w:rsidR="008632F2" w:rsidRPr="000E0C38">
        <w:rPr>
          <w:rFonts w:ascii="Arial" w:eastAsia="SimSun" w:hAnsi="Arial" w:cs="Arial"/>
          <w:sz w:val="20"/>
          <w:szCs w:val="20"/>
          <w:lang w:eastAsia="zh-CN"/>
        </w:rPr>
        <w:t xml:space="preserve"> 100,000 </w:t>
      </w:r>
      <w:r w:rsidRPr="000E0C38">
        <w:rPr>
          <w:rFonts w:ascii="Arial" w:eastAsia="SimSun" w:hAnsi="Arial" w:cs="Arial"/>
          <w:sz w:val="20"/>
          <w:szCs w:val="20"/>
          <w:lang w:eastAsia="zh-CN"/>
        </w:rPr>
        <w:t>construction workers</w:t>
      </w:r>
      <w:r w:rsidR="008632F2" w:rsidRPr="000E0C38">
        <w:rPr>
          <w:rFonts w:ascii="Arial" w:eastAsia="SimSun" w:hAnsi="Arial" w:cs="Arial"/>
          <w:sz w:val="20"/>
          <w:szCs w:val="20"/>
          <w:lang w:eastAsia="zh-CN"/>
        </w:rPr>
        <w:t>.</w:t>
      </w:r>
      <w:r w:rsidRPr="000E0C38">
        <w:rPr>
          <w:rStyle w:val="FootnoteReference"/>
          <w:rFonts w:ascii="Arial" w:eastAsia="SimSun" w:hAnsi="Arial" w:cs="Arial"/>
          <w:sz w:val="20"/>
          <w:szCs w:val="20"/>
          <w:lang w:eastAsia="zh-CN"/>
        </w:rPr>
        <w:footnoteReference w:id="45"/>
      </w:r>
      <w:r w:rsidR="008632F2" w:rsidRPr="000E0C38">
        <w:rPr>
          <w:rFonts w:ascii="Arial" w:eastAsia="SimSun" w:hAnsi="Arial" w:cs="Arial"/>
          <w:sz w:val="20"/>
          <w:szCs w:val="20"/>
          <w:lang w:eastAsia="zh-CN"/>
        </w:rPr>
        <w:t xml:space="preserve"> Figure </w:t>
      </w:r>
      <w:r w:rsidR="00563705" w:rsidRPr="000E0C38">
        <w:rPr>
          <w:rFonts w:ascii="Arial" w:eastAsia="SimSun" w:hAnsi="Arial" w:cs="Arial"/>
          <w:sz w:val="20"/>
          <w:szCs w:val="20"/>
          <w:lang w:eastAsia="zh-CN"/>
        </w:rPr>
        <w:t>5</w:t>
      </w:r>
      <w:r w:rsidR="008632F2" w:rsidRPr="000E0C38">
        <w:rPr>
          <w:rFonts w:ascii="Arial" w:eastAsia="SimSun" w:hAnsi="Arial" w:cs="Arial"/>
          <w:sz w:val="20"/>
          <w:szCs w:val="20"/>
          <w:lang w:eastAsia="zh-CN"/>
        </w:rPr>
        <w:t xml:space="preserve"> shows fatal occupational injuries per 100,000 workers in DFID countries of focus</w:t>
      </w:r>
      <w:r w:rsidR="00796D8D" w:rsidRPr="000E0C38">
        <w:rPr>
          <w:rFonts w:ascii="Arial" w:eastAsia="SimSun" w:hAnsi="Arial" w:cs="Arial"/>
          <w:sz w:val="20"/>
          <w:szCs w:val="20"/>
          <w:lang w:eastAsia="zh-CN"/>
        </w:rPr>
        <w:t>,</w:t>
      </w:r>
      <w:r w:rsidR="008632F2" w:rsidRPr="000E0C38">
        <w:rPr>
          <w:rFonts w:ascii="Arial" w:eastAsia="SimSun" w:hAnsi="Arial" w:cs="Arial"/>
          <w:sz w:val="20"/>
          <w:szCs w:val="20"/>
          <w:lang w:eastAsia="zh-CN"/>
        </w:rPr>
        <w:t xml:space="preserve"> and </w:t>
      </w:r>
      <w:r w:rsidR="00796D8D" w:rsidRPr="000E0C38">
        <w:rPr>
          <w:rFonts w:ascii="Arial" w:eastAsia="SimSun" w:hAnsi="Arial" w:cs="Arial"/>
          <w:sz w:val="20"/>
          <w:szCs w:val="20"/>
          <w:lang w:eastAsia="zh-CN"/>
        </w:rPr>
        <w:t xml:space="preserve">in </w:t>
      </w:r>
      <w:r w:rsidR="008632F2" w:rsidRPr="000E0C38">
        <w:rPr>
          <w:rFonts w:ascii="Arial" w:eastAsia="SimSun" w:hAnsi="Arial" w:cs="Arial"/>
          <w:sz w:val="20"/>
          <w:szCs w:val="20"/>
          <w:lang w:eastAsia="zh-CN"/>
        </w:rPr>
        <w:t>the United Kingdom. The countries where information is available have</w:t>
      </w:r>
      <w:r w:rsidRPr="000E0C38">
        <w:rPr>
          <w:rFonts w:ascii="Arial" w:eastAsia="SimSun" w:hAnsi="Arial" w:cs="Arial"/>
          <w:sz w:val="20"/>
          <w:szCs w:val="20"/>
          <w:lang w:eastAsia="zh-CN"/>
        </w:rPr>
        <w:t xml:space="preserve"> reported</w:t>
      </w:r>
      <w:r w:rsidR="008632F2" w:rsidRPr="000E0C38">
        <w:rPr>
          <w:rFonts w:ascii="Arial" w:eastAsia="SimSun" w:hAnsi="Arial" w:cs="Arial"/>
          <w:sz w:val="20"/>
          <w:szCs w:val="20"/>
          <w:lang w:eastAsia="zh-CN"/>
        </w:rPr>
        <w:t xml:space="preserve"> fatality rates moderately below the world average. However, they are far away from construction fatality rates in developed countries such as the United Kingdom.</w:t>
      </w:r>
    </w:p>
    <w:p w14:paraId="027E78A1" w14:textId="79B932D5" w:rsidR="009E64CA" w:rsidRPr="000E0C38" w:rsidRDefault="003B5B06" w:rsidP="00584AFB">
      <w:pPr>
        <w:pStyle w:val="Caption"/>
        <w:keepNext/>
        <w:spacing w:after="0"/>
        <w:jc w:val="both"/>
        <w:rPr>
          <w:b/>
          <w:sz w:val="20"/>
        </w:rPr>
      </w:pPr>
      <w:r w:rsidRPr="000E0C38">
        <w:rPr>
          <w:b/>
          <w:sz w:val="20"/>
          <w:szCs w:val="24"/>
        </w:rPr>
        <w:t xml:space="preserve">Figure </w:t>
      </w:r>
      <w:r w:rsidR="00226ED7" w:rsidRPr="000E0C38">
        <w:rPr>
          <w:b/>
          <w:sz w:val="20"/>
          <w:szCs w:val="24"/>
        </w:rPr>
        <w:fldChar w:fldCharType="begin"/>
      </w:r>
      <w:r w:rsidRPr="000E0C38">
        <w:rPr>
          <w:b/>
          <w:sz w:val="20"/>
          <w:szCs w:val="24"/>
        </w:rPr>
        <w:instrText xml:space="preserve"> SEQ Figure \* ARABIC </w:instrText>
      </w:r>
      <w:r w:rsidR="00226ED7" w:rsidRPr="000E0C38">
        <w:rPr>
          <w:b/>
          <w:sz w:val="20"/>
          <w:szCs w:val="24"/>
        </w:rPr>
        <w:fldChar w:fldCharType="separate"/>
      </w:r>
      <w:r w:rsidR="001A6968" w:rsidRPr="000E0C38">
        <w:rPr>
          <w:b/>
          <w:sz w:val="20"/>
          <w:szCs w:val="24"/>
        </w:rPr>
        <w:t>5</w:t>
      </w:r>
      <w:r w:rsidR="00226ED7" w:rsidRPr="000E0C38">
        <w:rPr>
          <w:b/>
          <w:sz w:val="20"/>
          <w:szCs w:val="24"/>
        </w:rPr>
        <w:fldChar w:fldCharType="end"/>
      </w:r>
      <w:r w:rsidRPr="000E0C38">
        <w:rPr>
          <w:b/>
          <w:sz w:val="20"/>
        </w:rPr>
        <w:t xml:space="preserve">: </w:t>
      </w:r>
      <w:r w:rsidR="00584AFB" w:rsidRPr="000E0C38">
        <w:rPr>
          <w:rFonts w:eastAsia="SimSun" w:cs="Arial"/>
          <w:b/>
          <w:sz w:val="20"/>
          <w:lang w:eastAsia="zh-CN"/>
        </w:rPr>
        <w:t>Number of fatal occupational injuries</w:t>
      </w:r>
      <w:r w:rsidRPr="000E0C38">
        <w:rPr>
          <w:rFonts w:eastAsia="SimSun" w:cs="Arial"/>
          <w:b/>
          <w:sz w:val="20"/>
          <w:lang w:eastAsia="zh-CN"/>
        </w:rPr>
        <w:t xml:space="preserve"> </w:t>
      </w:r>
      <w:r w:rsidR="00584AFB" w:rsidRPr="000E0C38">
        <w:rPr>
          <w:rFonts w:eastAsia="SimSun" w:cs="Arial"/>
          <w:b/>
          <w:sz w:val="20"/>
          <w:lang w:eastAsia="zh-CN"/>
        </w:rPr>
        <w:t xml:space="preserve">per 100 thousand workers </w:t>
      </w:r>
      <w:r w:rsidRPr="000E0C38">
        <w:rPr>
          <w:rFonts w:eastAsia="SimSun" w:cs="Arial"/>
          <w:b/>
          <w:sz w:val="20"/>
          <w:lang w:eastAsia="zh-CN"/>
        </w:rPr>
        <w:t>in countries</w:t>
      </w:r>
      <w:r w:rsidR="00B646FA" w:rsidRPr="000E0C38">
        <w:rPr>
          <w:rFonts w:eastAsia="SimSun" w:cs="Arial"/>
          <w:b/>
          <w:sz w:val="20"/>
          <w:lang w:eastAsia="zh-CN"/>
        </w:rPr>
        <w:t xml:space="preserve"> for which data is available</w:t>
      </w:r>
      <w:r w:rsidRPr="000E0C38">
        <w:rPr>
          <w:rFonts w:eastAsia="SimSun" w:cs="Arial"/>
          <w:b/>
          <w:sz w:val="20"/>
          <w:lang w:eastAsia="zh-CN"/>
        </w:rPr>
        <w:t>, 2010-2015</w:t>
      </w:r>
    </w:p>
    <w:p w14:paraId="48E66031" w14:textId="77777777" w:rsidR="009E64CA" w:rsidRPr="000E0C38" w:rsidRDefault="009E64CA">
      <w:pPr>
        <w:spacing w:line="276" w:lineRule="auto"/>
        <w:jc w:val="both"/>
        <w:rPr>
          <w:rFonts w:ascii="Arial" w:eastAsia="SimSun" w:hAnsi="Arial" w:cs="Arial"/>
          <w:sz w:val="20"/>
          <w:szCs w:val="20"/>
          <w:lang w:eastAsia="zh-CN"/>
        </w:rPr>
      </w:pPr>
      <w:r w:rsidRPr="000E0C38">
        <w:rPr>
          <w:rFonts w:ascii="Arial" w:eastAsia="SimSun" w:hAnsi="Arial" w:cs="Arial"/>
          <w:noProof/>
          <w:sz w:val="20"/>
          <w:szCs w:val="20"/>
          <w:lang w:eastAsia="en-GB"/>
        </w:rPr>
        <w:drawing>
          <wp:inline distT="0" distB="0" distL="0" distR="0" wp14:anchorId="2885F25B" wp14:editId="1CDA1139">
            <wp:extent cx="4829175" cy="2164080"/>
            <wp:effectExtent l="0" t="0" r="0" b="7620"/>
            <wp:docPr id="7"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9050CBA" w14:textId="77777777" w:rsidR="008632F2" w:rsidRPr="000E0C38" w:rsidRDefault="00A94109" w:rsidP="00584AFB">
      <w:pPr>
        <w:spacing w:after="240" w:line="260" w:lineRule="atLeast"/>
        <w:jc w:val="both"/>
        <w:rPr>
          <w:rFonts w:ascii="Arial" w:eastAsia="SimSun" w:hAnsi="Arial" w:cs="Arial"/>
          <w:sz w:val="16"/>
          <w:szCs w:val="16"/>
          <w:lang w:eastAsia="zh-CN"/>
        </w:rPr>
      </w:pPr>
      <w:r w:rsidRPr="000E0C38">
        <w:rPr>
          <w:rFonts w:ascii="Arial" w:eastAsia="SimSun" w:hAnsi="Arial" w:cs="Arial"/>
          <w:sz w:val="16"/>
          <w:szCs w:val="16"/>
          <w:lang w:eastAsia="zh-CN"/>
        </w:rPr>
        <w:tab/>
      </w:r>
      <w:r w:rsidRPr="000E0C38">
        <w:rPr>
          <w:rFonts w:ascii="Arial" w:eastAsia="SimSun" w:hAnsi="Arial" w:cs="Arial"/>
          <w:sz w:val="16"/>
          <w:szCs w:val="16"/>
          <w:lang w:eastAsia="zh-CN"/>
        </w:rPr>
        <w:tab/>
      </w:r>
      <w:r w:rsidR="008632F2" w:rsidRPr="000E0C38">
        <w:rPr>
          <w:rFonts w:ascii="Arial" w:eastAsia="SimSun" w:hAnsi="Arial" w:cs="Arial"/>
          <w:sz w:val="16"/>
          <w:szCs w:val="16"/>
          <w:lang w:eastAsia="zh-CN"/>
        </w:rPr>
        <w:t>Source: ILOSTAT.</w:t>
      </w:r>
    </w:p>
    <w:p w14:paraId="61C605BF" w14:textId="77777777" w:rsidR="009209C6" w:rsidRPr="000E0C38" w:rsidRDefault="009209C6"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The main drivers </w:t>
      </w:r>
      <w:r w:rsidR="00584AFB" w:rsidRPr="000E0C38">
        <w:rPr>
          <w:rFonts w:ascii="Arial" w:eastAsia="SimSun" w:hAnsi="Arial" w:cs="Arial"/>
          <w:sz w:val="20"/>
          <w:szCs w:val="20"/>
          <w:lang w:eastAsia="zh-CN"/>
        </w:rPr>
        <w:t>of</w:t>
      </w:r>
      <w:r w:rsidRPr="000E0C38">
        <w:rPr>
          <w:rFonts w:ascii="Arial" w:eastAsia="SimSun" w:hAnsi="Arial" w:cs="Arial"/>
          <w:sz w:val="20"/>
          <w:szCs w:val="20"/>
          <w:lang w:eastAsia="zh-CN"/>
        </w:rPr>
        <w:t xml:space="preserve"> improved </w:t>
      </w:r>
      <w:r w:rsidR="00584AFB" w:rsidRPr="000E0C38">
        <w:rPr>
          <w:rFonts w:ascii="Arial" w:eastAsia="SimSun" w:hAnsi="Arial" w:cs="Arial"/>
          <w:sz w:val="20"/>
          <w:szCs w:val="20"/>
          <w:lang w:eastAsia="zh-CN"/>
        </w:rPr>
        <w:t>OSH</w:t>
      </w:r>
      <w:r w:rsidRPr="000E0C38">
        <w:rPr>
          <w:rFonts w:ascii="Arial" w:eastAsia="SimSun" w:hAnsi="Arial" w:cs="Arial"/>
          <w:sz w:val="20"/>
          <w:szCs w:val="20"/>
          <w:lang w:eastAsia="zh-CN"/>
        </w:rPr>
        <w:t xml:space="preserve"> include economic growth and education. Further research would </w:t>
      </w:r>
      <w:r w:rsidR="00584AFB" w:rsidRPr="000E0C38">
        <w:rPr>
          <w:rFonts w:ascii="Arial" w:eastAsia="SimSun" w:hAnsi="Arial" w:cs="Arial"/>
          <w:sz w:val="20"/>
          <w:szCs w:val="20"/>
          <w:lang w:eastAsia="zh-CN"/>
        </w:rPr>
        <w:t xml:space="preserve">be </w:t>
      </w:r>
      <w:r w:rsidRPr="000E0C38">
        <w:rPr>
          <w:rFonts w:ascii="Arial" w:eastAsia="SimSun" w:hAnsi="Arial" w:cs="Arial"/>
          <w:sz w:val="20"/>
          <w:szCs w:val="20"/>
          <w:lang w:eastAsia="zh-CN"/>
        </w:rPr>
        <w:t>need</w:t>
      </w:r>
      <w:r w:rsidR="00584AFB" w:rsidRPr="000E0C38">
        <w:rPr>
          <w:rFonts w:ascii="Arial" w:eastAsia="SimSun" w:hAnsi="Arial" w:cs="Arial"/>
          <w:sz w:val="20"/>
          <w:szCs w:val="20"/>
          <w:lang w:eastAsia="zh-CN"/>
        </w:rPr>
        <w:t>ed</w:t>
      </w:r>
      <w:r w:rsidRPr="000E0C38">
        <w:rPr>
          <w:rFonts w:ascii="Arial" w:eastAsia="SimSun" w:hAnsi="Arial" w:cs="Arial"/>
          <w:sz w:val="20"/>
          <w:szCs w:val="20"/>
          <w:lang w:eastAsia="zh-CN"/>
        </w:rPr>
        <w:t xml:space="preserve"> to identify</w:t>
      </w:r>
      <w:r w:rsidR="00584AFB" w:rsidRPr="000E0C38">
        <w:rPr>
          <w:rFonts w:ascii="Arial" w:eastAsia="SimSun" w:hAnsi="Arial" w:cs="Arial"/>
          <w:sz w:val="20"/>
          <w:szCs w:val="20"/>
          <w:lang w:eastAsia="zh-CN"/>
        </w:rPr>
        <w:t xml:space="preserve"> any influence of</w:t>
      </w:r>
      <w:r w:rsidRPr="000E0C38">
        <w:rPr>
          <w:rFonts w:ascii="Arial" w:eastAsia="SimSun" w:hAnsi="Arial" w:cs="Arial"/>
          <w:sz w:val="20"/>
          <w:szCs w:val="20"/>
          <w:lang w:eastAsia="zh-CN"/>
        </w:rPr>
        <w:t xml:space="preserve"> foreign participation </w:t>
      </w:r>
      <w:r w:rsidR="00584AFB" w:rsidRPr="000E0C38">
        <w:rPr>
          <w:rFonts w:ascii="Arial" w:eastAsia="SimSun" w:hAnsi="Arial" w:cs="Arial"/>
          <w:sz w:val="20"/>
          <w:szCs w:val="20"/>
          <w:lang w:eastAsia="zh-CN"/>
        </w:rPr>
        <w:t>in the construction labour market on OSH outcomes.</w:t>
      </w:r>
    </w:p>
    <w:p w14:paraId="04D769D9"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lastRenderedPageBreak/>
        <w:t>Fatal accident rates vary significantly by occupation. Some occupations such as roofers, construction operatives, elementary construction workers, carpenters and joiners can be ten to a hundred times more dangerous than others.</w:t>
      </w:r>
      <w:r w:rsidRPr="000E0C38">
        <w:rPr>
          <w:rFonts w:ascii="Arial" w:eastAsia="SimSun" w:hAnsi="Arial" w:cs="Arial"/>
          <w:sz w:val="20"/>
          <w:szCs w:val="20"/>
          <w:vertAlign w:val="superscript"/>
          <w:lang w:eastAsia="zh-CN"/>
        </w:rPr>
        <w:footnoteReference w:id="46"/>
      </w:r>
      <w:r w:rsidRPr="000E0C38">
        <w:rPr>
          <w:rFonts w:ascii="Arial" w:eastAsia="SimSun" w:hAnsi="Arial" w:cs="Arial"/>
          <w:sz w:val="20"/>
          <w:szCs w:val="20"/>
          <w:lang w:eastAsia="zh-CN"/>
        </w:rPr>
        <w:t xml:space="preserve"> The bulk of fatalities in the sector</w:t>
      </w:r>
      <w:r w:rsidR="00C223C9" w:rsidRPr="000E0C38">
        <w:rPr>
          <w:rFonts w:ascii="Arial" w:eastAsia="SimSun" w:hAnsi="Arial" w:cs="Arial"/>
          <w:sz w:val="20"/>
          <w:szCs w:val="20"/>
          <w:lang w:eastAsia="zh-CN"/>
        </w:rPr>
        <w:t xml:space="preserve"> in LICs</w:t>
      </w:r>
      <w:r w:rsidRPr="000E0C38">
        <w:rPr>
          <w:rFonts w:ascii="Arial" w:eastAsia="SimSun" w:hAnsi="Arial" w:cs="Arial"/>
          <w:sz w:val="20"/>
          <w:szCs w:val="20"/>
          <w:lang w:eastAsia="zh-CN"/>
        </w:rPr>
        <w:t xml:space="preserve"> are caused by falls from heights and being hit by moving objects such as vehicles and lifting equipment, and contacts with machinery or electricity.</w:t>
      </w:r>
    </w:p>
    <w:p w14:paraId="57046E2A"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Non-fatal accidents are reported less often than fatal accidents in the construction sector. Most non-fatal accidents are associated with tasks related to material handling and installation of drywalls, piping and ventilation-duct installation, or accidents occurring while moving around the construction site.</w:t>
      </w:r>
      <w:r w:rsidRPr="000E0C38">
        <w:rPr>
          <w:rFonts w:ascii="Arial" w:eastAsia="SimSun" w:hAnsi="Arial" w:cs="Arial"/>
          <w:sz w:val="20"/>
          <w:szCs w:val="20"/>
          <w:vertAlign w:val="superscript"/>
          <w:lang w:eastAsia="zh-CN"/>
        </w:rPr>
        <w:footnoteReference w:id="47"/>
      </w:r>
      <w:r w:rsidRPr="000E0C38">
        <w:rPr>
          <w:rFonts w:ascii="Arial" w:eastAsia="SimSun" w:hAnsi="Arial" w:cs="Arial"/>
          <w:sz w:val="20"/>
          <w:szCs w:val="20"/>
          <w:lang w:eastAsia="zh-CN"/>
        </w:rPr>
        <w:t xml:space="preserve"> </w:t>
      </w:r>
      <w:r w:rsidR="00F90F59" w:rsidRPr="000E0C38">
        <w:rPr>
          <w:rFonts w:ascii="Arial" w:eastAsia="SimSun" w:hAnsi="Arial" w:cs="Arial"/>
          <w:sz w:val="20"/>
          <w:szCs w:val="20"/>
          <w:lang w:eastAsia="zh-CN"/>
        </w:rPr>
        <w:t xml:space="preserve">There is likely to be </w:t>
      </w:r>
      <w:r w:rsidR="00584AFB" w:rsidRPr="000E0C38">
        <w:rPr>
          <w:rFonts w:ascii="Arial" w:eastAsia="SimSun" w:hAnsi="Arial" w:cs="Arial"/>
          <w:sz w:val="20"/>
          <w:szCs w:val="20"/>
          <w:lang w:eastAsia="zh-CN"/>
        </w:rPr>
        <w:t xml:space="preserve">even greater </w:t>
      </w:r>
      <w:r w:rsidR="00F90F59" w:rsidRPr="000E0C38">
        <w:rPr>
          <w:rFonts w:ascii="Arial" w:eastAsia="SimSun" w:hAnsi="Arial" w:cs="Arial"/>
          <w:sz w:val="20"/>
          <w:szCs w:val="20"/>
          <w:lang w:eastAsia="zh-CN"/>
        </w:rPr>
        <w:t xml:space="preserve">underreporting </w:t>
      </w:r>
      <w:r w:rsidR="00584AFB" w:rsidRPr="000E0C38">
        <w:rPr>
          <w:rFonts w:ascii="Arial" w:eastAsia="SimSun" w:hAnsi="Arial" w:cs="Arial"/>
          <w:sz w:val="20"/>
          <w:szCs w:val="20"/>
          <w:lang w:eastAsia="zh-CN"/>
        </w:rPr>
        <w:t xml:space="preserve">of accidents </w:t>
      </w:r>
      <w:r w:rsidR="00F90F59" w:rsidRPr="000E0C38">
        <w:rPr>
          <w:rFonts w:ascii="Arial" w:eastAsia="SimSun" w:hAnsi="Arial" w:cs="Arial"/>
          <w:sz w:val="20"/>
          <w:szCs w:val="20"/>
          <w:lang w:eastAsia="zh-CN"/>
        </w:rPr>
        <w:t>in the informal sector.</w:t>
      </w:r>
    </w:p>
    <w:p w14:paraId="60033445"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Common health problems in construction work include deafness, musculoskeletal disorders</w:t>
      </w:r>
      <w:r w:rsidR="00584AFB"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and e</w:t>
      </w:r>
      <w:r w:rsidR="00584AFB" w:rsidRPr="000E0C38">
        <w:rPr>
          <w:rFonts w:ascii="Arial" w:eastAsia="SimSun" w:hAnsi="Arial" w:cs="Arial"/>
          <w:sz w:val="20"/>
          <w:szCs w:val="20"/>
          <w:lang w:eastAsia="zh-CN"/>
        </w:rPr>
        <w:t>xposure to hazardous substances</w:t>
      </w:r>
      <w:r w:rsidRPr="000E0C38">
        <w:rPr>
          <w:rFonts w:ascii="Arial" w:eastAsia="SimSun" w:hAnsi="Arial" w:cs="Arial"/>
          <w:sz w:val="20"/>
          <w:szCs w:val="20"/>
          <w:lang w:eastAsia="zh-CN"/>
        </w:rPr>
        <w:t xml:space="preserve"> such as asbestos. These problems are particularly present in low income countries, where </w:t>
      </w:r>
      <w:r w:rsidR="00584AFB" w:rsidRPr="000E0C38">
        <w:rPr>
          <w:rFonts w:ascii="Arial" w:eastAsia="SimSun" w:hAnsi="Arial" w:cs="Arial"/>
          <w:sz w:val="20"/>
          <w:szCs w:val="20"/>
          <w:lang w:eastAsia="zh-CN"/>
        </w:rPr>
        <w:t>fewer regulations, poor training, and lower compliance to safety standards contribute</w:t>
      </w:r>
      <w:r w:rsidRPr="000E0C38">
        <w:rPr>
          <w:rFonts w:ascii="Arial" w:eastAsia="SimSun" w:hAnsi="Arial" w:cs="Arial"/>
          <w:sz w:val="20"/>
          <w:szCs w:val="20"/>
          <w:lang w:eastAsia="zh-CN"/>
        </w:rPr>
        <w:t xml:space="preserve"> to </w:t>
      </w:r>
      <w:r w:rsidR="001F13AA" w:rsidRPr="000E0C38">
        <w:rPr>
          <w:rFonts w:ascii="Arial" w:eastAsia="SimSun" w:hAnsi="Arial" w:cs="Arial"/>
          <w:sz w:val="20"/>
          <w:szCs w:val="20"/>
          <w:lang w:eastAsia="zh-CN"/>
        </w:rPr>
        <w:t>greater exposure to hazards</w:t>
      </w:r>
      <w:r w:rsidRPr="000E0C38">
        <w:rPr>
          <w:rFonts w:ascii="Arial" w:eastAsia="SimSun" w:hAnsi="Arial" w:cs="Arial"/>
          <w:sz w:val="20"/>
          <w:szCs w:val="20"/>
          <w:lang w:eastAsia="zh-CN"/>
        </w:rPr>
        <w:t>.</w:t>
      </w:r>
      <w:r w:rsidR="00584AFB" w:rsidRPr="000E0C38">
        <w:rPr>
          <w:rFonts w:ascii="Arial" w:eastAsia="SimSun" w:hAnsi="Arial" w:cs="Arial"/>
          <w:sz w:val="20"/>
          <w:szCs w:val="20"/>
          <w:lang w:eastAsia="zh-CN"/>
        </w:rPr>
        <w:t xml:space="preserve"> </w:t>
      </w:r>
      <w:r w:rsidR="00647A14" w:rsidRPr="000E0C38">
        <w:rPr>
          <w:rFonts w:ascii="Arial" w:eastAsia="SimSun" w:hAnsi="Arial" w:cs="Arial"/>
          <w:sz w:val="20"/>
          <w:szCs w:val="20"/>
          <w:lang w:eastAsia="zh-CN"/>
        </w:rPr>
        <w:t xml:space="preserve">The difference in health and safety outcomes derives from differences in compliance and training. </w:t>
      </w:r>
      <w:r w:rsidR="00134098" w:rsidRPr="000E0C38">
        <w:fldChar w:fldCharType="begin"/>
      </w:r>
      <w:r w:rsidR="00134098" w:rsidRPr="000E0C38">
        <w:instrText xml:space="preserve"> REF _Ref492394404 \h  \* MERGEFORMAT </w:instrText>
      </w:r>
      <w:r w:rsidR="00134098" w:rsidRPr="000E0C38">
        <w:fldChar w:fldCharType="separate"/>
      </w:r>
      <w:r w:rsidR="001A6968" w:rsidRPr="000E0C38">
        <w:rPr>
          <w:rFonts w:ascii="Arial" w:hAnsi="Arial" w:cs="Arial"/>
          <w:sz w:val="20"/>
          <w:szCs w:val="20"/>
        </w:rPr>
        <w:t>Table 2</w:t>
      </w:r>
      <w:r w:rsidR="00134098" w:rsidRPr="000E0C38">
        <w:fldChar w:fldCharType="end"/>
      </w:r>
      <w:r w:rsidR="00257ED4"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shows the main hazards to which skilled construction workers are exposed.</w:t>
      </w:r>
    </w:p>
    <w:p w14:paraId="75F9344C" w14:textId="2BACEADC" w:rsidR="009E64CA" w:rsidRPr="000E0C38" w:rsidRDefault="003B5B06">
      <w:pPr>
        <w:pStyle w:val="Caption"/>
        <w:keepNext/>
        <w:spacing w:after="120"/>
        <w:rPr>
          <w:b/>
          <w:sz w:val="20"/>
        </w:rPr>
      </w:pPr>
      <w:bookmarkStart w:id="20" w:name="_Ref492394404"/>
      <w:r w:rsidRPr="000E0C38">
        <w:rPr>
          <w:b/>
          <w:sz w:val="20"/>
        </w:rPr>
        <w:t xml:space="preserve">Table </w:t>
      </w:r>
      <w:r w:rsidR="00226ED7" w:rsidRPr="000E0C38">
        <w:rPr>
          <w:b/>
          <w:sz w:val="20"/>
        </w:rPr>
        <w:fldChar w:fldCharType="begin"/>
      </w:r>
      <w:r w:rsidRPr="000E0C38">
        <w:rPr>
          <w:b/>
          <w:sz w:val="20"/>
        </w:rPr>
        <w:instrText xml:space="preserve"> SEQ Table \* ARABIC </w:instrText>
      </w:r>
      <w:r w:rsidR="00226ED7" w:rsidRPr="000E0C38">
        <w:rPr>
          <w:b/>
          <w:sz w:val="20"/>
        </w:rPr>
        <w:fldChar w:fldCharType="separate"/>
      </w:r>
      <w:r w:rsidR="001A6968" w:rsidRPr="000E0C38">
        <w:rPr>
          <w:b/>
          <w:sz w:val="20"/>
        </w:rPr>
        <w:t>2</w:t>
      </w:r>
      <w:r w:rsidR="00226ED7" w:rsidRPr="000E0C38">
        <w:rPr>
          <w:b/>
          <w:sz w:val="20"/>
        </w:rPr>
        <w:fldChar w:fldCharType="end"/>
      </w:r>
      <w:bookmarkEnd w:id="20"/>
      <w:r w:rsidRPr="000E0C38">
        <w:rPr>
          <w:b/>
          <w:sz w:val="20"/>
        </w:rPr>
        <w:t xml:space="preserve">: </w:t>
      </w:r>
      <w:r w:rsidRPr="000E0C38">
        <w:rPr>
          <w:rFonts w:eastAsia="SimSun" w:cs="Arial"/>
          <w:b/>
          <w:sz w:val="20"/>
          <w:lang w:eastAsia="zh-CN"/>
        </w:rPr>
        <w:t>Main hazards to which workers are exposed in the most common construction occupation</w:t>
      </w:r>
      <w:r w:rsidR="00E7683F" w:rsidRPr="000E0C38">
        <w:rPr>
          <w:rFonts w:eastAsia="SimSun" w:cs="Arial"/>
          <w:b/>
          <w:sz w:val="20"/>
          <w:lang w:eastAsia="zh-CN"/>
        </w:rPr>
        <w:t>s</w:t>
      </w:r>
    </w:p>
    <w:tbl>
      <w:tblPr>
        <w:tblStyle w:val="Normaltablestyle"/>
        <w:tblW w:w="9488" w:type="dxa"/>
        <w:tblLook w:val="04A0" w:firstRow="1" w:lastRow="0" w:firstColumn="1" w:lastColumn="0" w:noHBand="0" w:noVBand="1"/>
      </w:tblPr>
      <w:tblGrid>
        <w:gridCol w:w="3137"/>
        <w:gridCol w:w="6351"/>
      </w:tblGrid>
      <w:tr w:rsidR="008632F2" w:rsidRPr="000E0C38" w14:paraId="3D820909" w14:textId="77777777" w:rsidTr="00432BEF">
        <w:trPr>
          <w:cnfStyle w:val="100000000000" w:firstRow="1" w:lastRow="0" w:firstColumn="0" w:lastColumn="0" w:oddVBand="0" w:evenVBand="0" w:oddHBand="0" w:evenHBand="0" w:firstRowFirstColumn="0" w:firstRowLastColumn="0" w:lastRowFirstColumn="0" w:lastRowLastColumn="0"/>
          <w:trHeight w:val="255"/>
        </w:trPr>
        <w:tc>
          <w:tcPr>
            <w:tcW w:w="3137" w:type="dxa"/>
            <w:shd w:val="clear" w:color="auto" w:fill="CBD1EE" w:themeFill="text2" w:themeFillTint="33"/>
            <w:noWrap/>
            <w:hideMark/>
          </w:tcPr>
          <w:p w14:paraId="745843C3" w14:textId="77777777" w:rsidR="009E64CA" w:rsidRPr="000E0C38" w:rsidRDefault="008632F2">
            <w:pPr>
              <w:tabs>
                <w:tab w:val="right" w:pos="2921"/>
              </w:tabs>
              <w:rPr>
                <w:rFonts w:ascii="Arial" w:eastAsia="Times New Roman" w:hAnsi="Arial" w:cs="Arial"/>
                <w:b w:val="0"/>
                <w:bCs/>
                <w:color w:val="auto"/>
                <w:sz w:val="20"/>
                <w:szCs w:val="20"/>
              </w:rPr>
            </w:pPr>
            <w:r w:rsidRPr="000E0C38">
              <w:rPr>
                <w:rFonts w:ascii="Arial" w:eastAsia="Times New Roman" w:hAnsi="Arial" w:cs="Arial"/>
                <w:sz w:val="20"/>
                <w:szCs w:val="20"/>
              </w:rPr>
              <w:t>Occupation / Task</w:t>
            </w:r>
            <w:r w:rsidR="00257ED4" w:rsidRPr="000E0C38">
              <w:rPr>
                <w:rFonts w:ascii="Arial" w:eastAsia="Times New Roman" w:hAnsi="Arial" w:cs="Arial"/>
                <w:sz w:val="20"/>
                <w:szCs w:val="20"/>
              </w:rPr>
              <w:tab/>
            </w:r>
          </w:p>
        </w:tc>
        <w:tc>
          <w:tcPr>
            <w:tcW w:w="6351" w:type="dxa"/>
            <w:shd w:val="clear" w:color="auto" w:fill="CBD1EE" w:themeFill="text2" w:themeFillTint="33"/>
            <w:noWrap/>
            <w:hideMark/>
          </w:tcPr>
          <w:p w14:paraId="792C8F4A"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Hazards</w:t>
            </w:r>
          </w:p>
        </w:tc>
      </w:tr>
      <w:tr w:rsidR="008632F2" w:rsidRPr="000E0C38" w14:paraId="39D4A515" w14:textId="77777777" w:rsidTr="00432BEF">
        <w:trPr>
          <w:cnfStyle w:val="000000100000" w:firstRow="0" w:lastRow="0" w:firstColumn="0" w:lastColumn="0" w:oddVBand="0" w:evenVBand="0" w:oddHBand="1" w:evenHBand="0" w:firstRowFirstColumn="0" w:firstRowLastColumn="0" w:lastRowFirstColumn="0" w:lastRowLastColumn="0"/>
          <w:trHeight w:val="255"/>
        </w:trPr>
        <w:tc>
          <w:tcPr>
            <w:tcW w:w="3137" w:type="dxa"/>
            <w:noWrap/>
            <w:hideMark/>
          </w:tcPr>
          <w:p w14:paraId="40A1818D"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Brick masons</w:t>
            </w:r>
          </w:p>
        </w:tc>
        <w:tc>
          <w:tcPr>
            <w:tcW w:w="6351" w:type="dxa"/>
            <w:noWrap/>
            <w:hideMark/>
          </w:tcPr>
          <w:p w14:paraId="0EF3CB8D"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Awkward postures, heavy loads, exposure to cement</w:t>
            </w:r>
          </w:p>
        </w:tc>
      </w:tr>
      <w:tr w:rsidR="008632F2" w:rsidRPr="000E0C38" w14:paraId="2869A524" w14:textId="77777777" w:rsidTr="00432BEF">
        <w:trPr>
          <w:cnfStyle w:val="000000010000" w:firstRow="0" w:lastRow="0" w:firstColumn="0" w:lastColumn="0" w:oddVBand="0" w:evenVBand="0" w:oddHBand="0" w:evenHBand="1" w:firstRowFirstColumn="0" w:firstRowLastColumn="0" w:lastRowFirstColumn="0" w:lastRowLastColumn="0"/>
          <w:trHeight w:val="255"/>
        </w:trPr>
        <w:tc>
          <w:tcPr>
            <w:tcW w:w="3137" w:type="dxa"/>
            <w:noWrap/>
            <w:hideMark/>
          </w:tcPr>
          <w:p w14:paraId="2DCDEDB2"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Carpenter and woodcrafters</w:t>
            </w:r>
          </w:p>
        </w:tc>
        <w:tc>
          <w:tcPr>
            <w:tcW w:w="6351" w:type="dxa"/>
            <w:noWrap/>
            <w:hideMark/>
          </w:tcPr>
          <w:p w14:paraId="5024A20D"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Wood dust, heavy loads, repetitive motion</w:t>
            </w:r>
          </w:p>
        </w:tc>
      </w:tr>
      <w:tr w:rsidR="008632F2" w:rsidRPr="000E0C38" w14:paraId="746408B5" w14:textId="77777777" w:rsidTr="00432BEF">
        <w:trPr>
          <w:cnfStyle w:val="000000100000" w:firstRow="0" w:lastRow="0" w:firstColumn="0" w:lastColumn="0" w:oddVBand="0" w:evenVBand="0" w:oddHBand="1" w:evenHBand="0" w:firstRowFirstColumn="0" w:firstRowLastColumn="0" w:lastRowFirstColumn="0" w:lastRowLastColumn="0"/>
          <w:trHeight w:val="284"/>
        </w:trPr>
        <w:tc>
          <w:tcPr>
            <w:tcW w:w="3137" w:type="dxa"/>
            <w:noWrap/>
            <w:hideMark/>
          </w:tcPr>
          <w:p w14:paraId="77F11670"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Crane and lower operators</w:t>
            </w:r>
          </w:p>
        </w:tc>
        <w:tc>
          <w:tcPr>
            <w:tcW w:w="6351" w:type="dxa"/>
            <w:noWrap/>
            <w:hideMark/>
          </w:tcPr>
          <w:p w14:paraId="76F6C803"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Stress, isolation</w:t>
            </w:r>
          </w:p>
        </w:tc>
      </w:tr>
      <w:tr w:rsidR="008632F2" w:rsidRPr="000E0C38" w14:paraId="10A0F38B" w14:textId="77777777" w:rsidTr="00432BEF">
        <w:trPr>
          <w:cnfStyle w:val="000000010000" w:firstRow="0" w:lastRow="0" w:firstColumn="0" w:lastColumn="0" w:oddVBand="0" w:evenVBand="0" w:oddHBand="0" w:evenHBand="1" w:firstRowFirstColumn="0" w:firstRowLastColumn="0" w:lastRowFirstColumn="0" w:lastRowLastColumn="0"/>
          <w:trHeight w:val="255"/>
        </w:trPr>
        <w:tc>
          <w:tcPr>
            <w:tcW w:w="3137" w:type="dxa"/>
            <w:noWrap/>
            <w:hideMark/>
          </w:tcPr>
          <w:p w14:paraId="3CAEFE11"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Demolition workers</w:t>
            </w:r>
          </w:p>
        </w:tc>
        <w:tc>
          <w:tcPr>
            <w:tcW w:w="6351" w:type="dxa"/>
            <w:noWrap/>
            <w:hideMark/>
          </w:tcPr>
          <w:p w14:paraId="2055A4D3"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Asbestos, lead, dust, noise</w:t>
            </w:r>
          </w:p>
        </w:tc>
      </w:tr>
      <w:tr w:rsidR="008632F2" w:rsidRPr="000E0C38" w14:paraId="64AA968A" w14:textId="77777777" w:rsidTr="00432BEF">
        <w:trPr>
          <w:cnfStyle w:val="000000100000" w:firstRow="0" w:lastRow="0" w:firstColumn="0" w:lastColumn="0" w:oddVBand="0" w:evenVBand="0" w:oddHBand="1" w:evenHBand="0" w:firstRowFirstColumn="0" w:firstRowLastColumn="0" w:lastRowFirstColumn="0" w:lastRowLastColumn="0"/>
          <w:trHeight w:val="255"/>
        </w:trPr>
        <w:tc>
          <w:tcPr>
            <w:tcW w:w="3137" w:type="dxa"/>
            <w:noWrap/>
            <w:hideMark/>
          </w:tcPr>
          <w:p w14:paraId="09ABDA84"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Drillers</w:t>
            </w:r>
          </w:p>
        </w:tc>
        <w:tc>
          <w:tcPr>
            <w:tcW w:w="6351" w:type="dxa"/>
            <w:noWrap/>
            <w:hideMark/>
          </w:tcPr>
          <w:p w14:paraId="20EAA437"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Silica dust, whole-body vibration, noise</w:t>
            </w:r>
          </w:p>
        </w:tc>
      </w:tr>
      <w:tr w:rsidR="008632F2" w:rsidRPr="000E0C38" w14:paraId="712BAD30" w14:textId="77777777" w:rsidTr="00432BEF">
        <w:trPr>
          <w:cnfStyle w:val="000000010000" w:firstRow="0" w:lastRow="0" w:firstColumn="0" w:lastColumn="0" w:oddVBand="0" w:evenVBand="0" w:oddHBand="0" w:evenHBand="1" w:firstRowFirstColumn="0" w:firstRowLastColumn="0" w:lastRowFirstColumn="0" w:lastRowLastColumn="0"/>
          <w:trHeight w:val="255"/>
        </w:trPr>
        <w:tc>
          <w:tcPr>
            <w:tcW w:w="3137" w:type="dxa"/>
            <w:noWrap/>
            <w:hideMark/>
          </w:tcPr>
          <w:p w14:paraId="7F5E0DB0"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Drywall installers</w:t>
            </w:r>
          </w:p>
        </w:tc>
        <w:tc>
          <w:tcPr>
            <w:tcW w:w="6351" w:type="dxa"/>
            <w:noWrap/>
            <w:hideMark/>
          </w:tcPr>
          <w:p w14:paraId="564005CF"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 xml:space="preserve">Plaster dust, walking on </w:t>
            </w:r>
            <w:proofErr w:type="spellStart"/>
            <w:r w:rsidRPr="000E0C38">
              <w:rPr>
                <w:rFonts w:ascii="Arial" w:eastAsia="Times New Roman" w:hAnsi="Arial" w:cs="Arial"/>
                <w:sz w:val="20"/>
                <w:szCs w:val="20"/>
              </w:rPr>
              <w:t>stitts</w:t>
            </w:r>
            <w:proofErr w:type="spellEnd"/>
            <w:r w:rsidRPr="000E0C38">
              <w:rPr>
                <w:rFonts w:ascii="Arial" w:eastAsia="Times New Roman" w:hAnsi="Arial" w:cs="Arial"/>
                <w:sz w:val="20"/>
                <w:szCs w:val="20"/>
              </w:rPr>
              <w:t>, heavy loads, awkward postures</w:t>
            </w:r>
          </w:p>
        </w:tc>
      </w:tr>
      <w:tr w:rsidR="008632F2" w:rsidRPr="000E0C38" w14:paraId="40799417" w14:textId="77777777" w:rsidTr="00432BEF">
        <w:trPr>
          <w:cnfStyle w:val="000000100000" w:firstRow="0" w:lastRow="0" w:firstColumn="0" w:lastColumn="0" w:oddVBand="0" w:evenVBand="0" w:oddHBand="1" w:evenHBand="0" w:firstRowFirstColumn="0" w:firstRowLastColumn="0" w:lastRowFirstColumn="0" w:lastRowLastColumn="0"/>
          <w:trHeight w:val="255"/>
        </w:trPr>
        <w:tc>
          <w:tcPr>
            <w:tcW w:w="3137" w:type="dxa"/>
            <w:noWrap/>
            <w:hideMark/>
          </w:tcPr>
          <w:p w14:paraId="33A00638"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Electricians</w:t>
            </w:r>
          </w:p>
        </w:tc>
        <w:tc>
          <w:tcPr>
            <w:tcW w:w="6351" w:type="dxa"/>
            <w:noWrap/>
            <w:hideMark/>
          </w:tcPr>
          <w:p w14:paraId="1D1B6EE2"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Heavy metals in solder fumes, awkward postures, heavy loads, asbestos dust</w:t>
            </w:r>
          </w:p>
        </w:tc>
      </w:tr>
      <w:tr w:rsidR="008632F2" w:rsidRPr="000E0C38" w14:paraId="603CD35A" w14:textId="77777777" w:rsidTr="00432BEF">
        <w:trPr>
          <w:cnfStyle w:val="000000010000" w:firstRow="0" w:lastRow="0" w:firstColumn="0" w:lastColumn="0" w:oddVBand="0" w:evenVBand="0" w:oddHBand="0" w:evenHBand="1" w:firstRowFirstColumn="0" w:firstRowLastColumn="0" w:lastRowFirstColumn="0" w:lastRowLastColumn="0"/>
          <w:trHeight w:val="255"/>
        </w:trPr>
        <w:tc>
          <w:tcPr>
            <w:tcW w:w="3137" w:type="dxa"/>
            <w:noWrap/>
            <w:hideMark/>
          </w:tcPr>
          <w:p w14:paraId="133314D8"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Excavating and loading machine operators</w:t>
            </w:r>
          </w:p>
        </w:tc>
        <w:tc>
          <w:tcPr>
            <w:tcW w:w="6351" w:type="dxa"/>
            <w:noWrap/>
            <w:hideMark/>
          </w:tcPr>
          <w:p w14:paraId="29B357D2"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Silica dust, histoplasmosis, whole-body vibration, noise</w:t>
            </w:r>
          </w:p>
        </w:tc>
      </w:tr>
      <w:tr w:rsidR="008632F2" w:rsidRPr="000E0C38" w14:paraId="6046DF7E" w14:textId="77777777" w:rsidTr="00432BEF">
        <w:trPr>
          <w:cnfStyle w:val="000000100000" w:firstRow="0" w:lastRow="0" w:firstColumn="0" w:lastColumn="0" w:oddVBand="0" w:evenVBand="0" w:oddHBand="1" w:evenHBand="0" w:firstRowFirstColumn="0" w:firstRowLastColumn="0" w:lastRowFirstColumn="0" w:lastRowLastColumn="0"/>
          <w:trHeight w:val="255"/>
        </w:trPr>
        <w:tc>
          <w:tcPr>
            <w:tcW w:w="3137" w:type="dxa"/>
            <w:noWrap/>
            <w:hideMark/>
          </w:tcPr>
          <w:p w14:paraId="18850927"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Grader, dozer and scraper operators</w:t>
            </w:r>
          </w:p>
        </w:tc>
        <w:tc>
          <w:tcPr>
            <w:tcW w:w="6351" w:type="dxa"/>
            <w:noWrap/>
            <w:hideMark/>
          </w:tcPr>
          <w:p w14:paraId="42BCCE65"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Silica dust, whole-body vibration, heat, noise</w:t>
            </w:r>
          </w:p>
        </w:tc>
      </w:tr>
      <w:tr w:rsidR="008632F2" w:rsidRPr="000E0C38" w14:paraId="2CB3CB56" w14:textId="77777777" w:rsidTr="00432BEF">
        <w:trPr>
          <w:cnfStyle w:val="000000010000" w:firstRow="0" w:lastRow="0" w:firstColumn="0" w:lastColumn="0" w:oddVBand="0" w:evenVBand="0" w:oddHBand="0" w:evenHBand="1" w:firstRowFirstColumn="0" w:firstRowLastColumn="0" w:lastRowFirstColumn="0" w:lastRowLastColumn="0"/>
          <w:trHeight w:val="255"/>
        </w:trPr>
        <w:tc>
          <w:tcPr>
            <w:tcW w:w="3137" w:type="dxa"/>
            <w:noWrap/>
            <w:hideMark/>
          </w:tcPr>
          <w:p w14:paraId="19F8C6B5"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Hard tile setters</w:t>
            </w:r>
          </w:p>
        </w:tc>
        <w:tc>
          <w:tcPr>
            <w:tcW w:w="6351" w:type="dxa"/>
            <w:noWrap/>
            <w:hideMark/>
          </w:tcPr>
          <w:p w14:paraId="77EBD0BD"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Vapour from bonding agents, dermatitis, awkward postures</w:t>
            </w:r>
          </w:p>
        </w:tc>
      </w:tr>
      <w:tr w:rsidR="008632F2" w:rsidRPr="000E0C38" w14:paraId="79C05C23" w14:textId="77777777" w:rsidTr="00432BEF">
        <w:trPr>
          <w:cnfStyle w:val="000000100000" w:firstRow="0" w:lastRow="0" w:firstColumn="0" w:lastColumn="0" w:oddVBand="0" w:evenVBand="0" w:oddHBand="1" w:evenHBand="0" w:firstRowFirstColumn="0" w:firstRowLastColumn="0" w:lastRowFirstColumn="0" w:lastRowLastColumn="0"/>
          <w:trHeight w:val="255"/>
        </w:trPr>
        <w:tc>
          <w:tcPr>
            <w:tcW w:w="3137" w:type="dxa"/>
            <w:noWrap/>
            <w:hideMark/>
          </w:tcPr>
          <w:p w14:paraId="088C72A5"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Insulation workers</w:t>
            </w:r>
          </w:p>
        </w:tc>
        <w:tc>
          <w:tcPr>
            <w:tcW w:w="6351" w:type="dxa"/>
            <w:noWrap/>
            <w:hideMark/>
          </w:tcPr>
          <w:p w14:paraId="0F16D399"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Asbestos, synthetic fibres, awkward postures</w:t>
            </w:r>
          </w:p>
        </w:tc>
      </w:tr>
      <w:tr w:rsidR="008632F2" w:rsidRPr="000E0C38" w14:paraId="7B8111F9" w14:textId="77777777" w:rsidTr="00432BEF">
        <w:trPr>
          <w:cnfStyle w:val="000000010000" w:firstRow="0" w:lastRow="0" w:firstColumn="0" w:lastColumn="0" w:oddVBand="0" w:evenVBand="0" w:oddHBand="0" w:evenHBand="1" w:firstRowFirstColumn="0" w:firstRowLastColumn="0" w:lastRowFirstColumn="0" w:lastRowLastColumn="0"/>
          <w:trHeight w:val="255"/>
        </w:trPr>
        <w:tc>
          <w:tcPr>
            <w:tcW w:w="3137" w:type="dxa"/>
            <w:noWrap/>
            <w:hideMark/>
          </w:tcPr>
          <w:p w14:paraId="639B9676"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Painters</w:t>
            </w:r>
          </w:p>
        </w:tc>
        <w:tc>
          <w:tcPr>
            <w:tcW w:w="6351" w:type="dxa"/>
            <w:noWrap/>
            <w:hideMark/>
          </w:tcPr>
          <w:p w14:paraId="62E80E7F" w14:textId="77777777" w:rsidR="008632F2" w:rsidRPr="000E0C38" w:rsidRDefault="008632F2" w:rsidP="008632F2">
            <w:pPr>
              <w:rPr>
                <w:rFonts w:ascii="Arial" w:eastAsia="Times New Roman" w:hAnsi="Arial" w:cs="Arial"/>
                <w:sz w:val="20"/>
                <w:szCs w:val="20"/>
              </w:rPr>
            </w:pPr>
            <w:proofErr w:type="spellStart"/>
            <w:r w:rsidRPr="000E0C38">
              <w:rPr>
                <w:rFonts w:ascii="Arial" w:eastAsia="Times New Roman" w:hAnsi="Arial" w:cs="Arial"/>
                <w:sz w:val="20"/>
                <w:szCs w:val="20"/>
              </w:rPr>
              <w:t>Solivent</w:t>
            </w:r>
            <w:proofErr w:type="spellEnd"/>
            <w:r w:rsidRPr="000E0C38">
              <w:rPr>
                <w:rFonts w:ascii="Arial" w:eastAsia="Times New Roman" w:hAnsi="Arial" w:cs="Arial"/>
                <w:sz w:val="20"/>
                <w:szCs w:val="20"/>
              </w:rPr>
              <w:t xml:space="preserve"> </w:t>
            </w:r>
            <w:proofErr w:type="spellStart"/>
            <w:r w:rsidRPr="000E0C38">
              <w:rPr>
                <w:rFonts w:ascii="Arial" w:eastAsia="Times New Roman" w:hAnsi="Arial" w:cs="Arial"/>
                <w:sz w:val="20"/>
                <w:szCs w:val="20"/>
              </w:rPr>
              <w:t>vamours</w:t>
            </w:r>
            <w:proofErr w:type="spellEnd"/>
            <w:r w:rsidRPr="000E0C38">
              <w:rPr>
                <w:rFonts w:ascii="Arial" w:eastAsia="Times New Roman" w:hAnsi="Arial" w:cs="Arial"/>
                <w:sz w:val="20"/>
                <w:szCs w:val="20"/>
              </w:rPr>
              <w:t>, toxic metals in pigments, paint additives</w:t>
            </w:r>
          </w:p>
        </w:tc>
      </w:tr>
      <w:tr w:rsidR="008632F2" w:rsidRPr="000E0C38" w14:paraId="14EEF9B7" w14:textId="77777777" w:rsidTr="00432BEF">
        <w:trPr>
          <w:cnfStyle w:val="000000100000" w:firstRow="0" w:lastRow="0" w:firstColumn="0" w:lastColumn="0" w:oddVBand="0" w:evenVBand="0" w:oddHBand="1" w:evenHBand="0" w:firstRowFirstColumn="0" w:firstRowLastColumn="0" w:lastRowFirstColumn="0" w:lastRowLastColumn="0"/>
          <w:trHeight w:val="255"/>
        </w:trPr>
        <w:tc>
          <w:tcPr>
            <w:tcW w:w="3137" w:type="dxa"/>
            <w:noWrap/>
            <w:hideMark/>
          </w:tcPr>
          <w:p w14:paraId="219B769E"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Pipefitters</w:t>
            </w:r>
          </w:p>
        </w:tc>
        <w:tc>
          <w:tcPr>
            <w:tcW w:w="6351" w:type="dxa"/>
            <w:noWrap/>
            <w:hideMark/>
          </w:tcPr>
          <w:p w14:paraId="64225A4C"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Lead fumes and particles, welding fumes, asbestos and dust</w:t>
            </w:r>
          </w:p>
        </w:tc>
      </w:tr>
      <w:tr w:rsidR="008632F2" w:rsidRPr="000E0C38" w14:paraId="6D89AC9F" w14:textId="77777777" w:rsidTr="00432BEF">
        <w:trPr>
          <w:cnfStyle w:val="000000010000" w:firstRow="0" w:lastRow="0" w:firstColumn="0" w:lastColumn="0" w:oddVBand="0" w:evenVBand="0" w:oddHBand="0" w:evenHBand="1" w:firstRowFirstColumn="0" w:firstRowLastColumn="0" w:lastRowFirstColumn="0" w:lastRowLastColumn="0"/>
          <w:trHeight w:val="255"/>
        </w:trPr>
        <w:tc>
          <w:tcPr>
            <w:tcW w:w="3137" w:type="dxa"/>
            <w:noWrap/>
            <w:hideMark/>
          </w:tcPr>
          <w:p w14:paraId="2EEEAEBC"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Plasterers</w:t>
            </w:r>
          </w:p>
        </w:tc>
        <w:tc>
          <w:tcPr>
            <w:tcW w:w="6351" w:type="dxa"/>
            <w:noWrap/>
            <w:hideMark/>
          </w:tcPr>
          <w:p w14:paraId="15B22031"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Dermatitis, awkward postures</w:t>
            </w:r>
          </w:p>
        </w:tc>
      </w:tr>
      <w:tr w:rsidR="008632F2" w:rsidRPr="000E0C38" w14:paraId="428FAFA3" w14:textId="77777777" w:rsidTr="00432BEF">
        <w:trPr>
          <w:cnfStyle w:val="000000100000" w:firstRow="0" w:lastRow="0" w:firstColumn="0" w:lastColumn="0" w:oddVBand="0" w:evenVBand="0" w:oddHBand="1" w:evenHBand="0" w:firstRowFirstColumn="0" w:firstRowLastColumn="0" w:lastRowFirstColumn="0" w:lastRowLastColumn="0"/>
          <w:trHeight w:val="255"/>
        </w:trPr>
        <w:tc>
          <w:tcPr>
            <w:tcW w:w="3137" w:type="dxa"/>
            <w:noWrap/>
            <w:hideMark/>
          </w:tcPr>
          <w:p w14:paraId="55B05223"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Plumbers</w:t>
            </w:r>
          </w:p>
        </w:tc>
        <w:tc>
          <w:tcPr>
            <w:tcW w:w="6351" w:type="dxa"/>
            <w:noWrap/>
            <w:hideMark/>
          </w:tcPr>
          <w:p w14:paraId="684BE4A6"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Lead fumes and particles, welding fumes</w:t>
            </w:r>
          </w:p>
        </w:tc>
      </w:tr>
      <w:tr w:rsidR="008632F2" w:rsidRPr="000E0C38" w14:paraId="70C6F4F5" w14:textId="77777777" w:rsidTr="00432BEF">
        <w:trPr>
          <w:cnfStyle w:val="000000010000" w:firstRow="0" w:lastRow="0" w:firstColumn="0" w:lastColumn="0" w:oddVBand="0" w:evenVBand="0" w:oddHBand="0" w:evenHBand="1" w:firstRowFirstColumn="0" w:firstRowLastColumn="0" w:lastRowFirstColumn="0" w:lastRowLastColumn="0"/>
          <w:trHeight w:val="255"/>
        </w:trPr>
        <w:tc>
          <w:tcPr>
            <w:tcW w:w="3137" w:type="dxa"/>
            <w:noWrap/>
            <w:hideMark/>
          </w:tcPr>
          <w:p w14:paraId="1D51D94F"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 xml:space="preserve">Road and </w:t>
            </w:r>
            <w:r w:rsidR="00D300FA" w:rsidRPr="000E0C38">
              <w:rPr>
                <w:rFonts w:ascii="Arial" w:eastAsia="Times New Roman" w:hAnsi="Arial" w:cs="Arial"/>
                <w:sz w:val="20"/>
                <w:szCs w:val="20"/>
              </w:rPr>
              <w:t>street</w:t>
            </w:r>
            <w:r w:rsidRPr="000E0C38">
              <w:rPr>
                <w:rFonts w:ascii="Arial" w:eastAsia="Times New Roman" w:hAnsi="Arial" w:cs="Arial"/>
                <w:sz w:val="20"/>
                <w:szCs w:val="20"/>
              </w:rPr>
              <w:t xml:space="preserve"> </w:t>
            </w:r>
            <w:r w:rsidR="00D300FA" w:rsidRPr="000E0C38">
              <w:rPr>
                <w:rFonts w:ascii="Arial" w:eastAsia="Times New Roman" w:hAnsi="Arial" w:cs="Arial"/>
                <w:sz w:val="20"/>
                <w:szCs w:val="20"/>
              </w:rPr>
              <w:t>construction</w:t>
            </w:r>
            <w:r w:rsidRPr="000E0C38">
              <w:rPr>
                <w:rFonts w:ascii="Arial" w:eastAsia="Times New Roman" w:hAnsi="Arial" w:cs="Arial"/>
                <w:sz w:val="20"/>
                <w:szCs w:val="20"/>
              </w:rPr>
              <w:t xml:space="preserve"> workers</w:t>
            </w:r>
          </w:p>
        </w:tc>
        <w:tc>
          <w:tcPr>
            <w:tcW w:w="6351" w:type="dxa"/>
            <w:noWrap/>
            <w:hideMark/>
          </w:tcPr>
          <w:p w14:paraId="680A5E0D"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Asphalt emissions, heat, diesel engine exhaust</w:t>
            </w:r>
          </w:p>
        </w:tc>
      </w:tr>
      <w:tr w:rsidR="008632F2" w:rsidRPr="000E0C38" w14:paraId="0DD03EA5" w14:textId="77777777" w:rsidTr="00432BEF">
        <w:trPr>
          <w:cnfStyle w:val="000000100000" w:firstRow="0" w:lastRow="0" w:firstColumn="0" w:lastColumn="0" w:oddVBand="0" w:evenVBand="0" w:oddHBand="1" w:evenHBand="0" w:firstRowFirstColumn="0" w:firstRowLastColumn="0" w:lastRowFirstColumn="0" w:lastRowLastColumn="0"/>
          <w:trHeight w:val="255"/>
        </w:trPr>
        <w:tc>
          <w:tcPr>
            <w:tcW w:w="3137" w:type="dxa"/>
            <w:noWrap/>
            <w:hideMark/>
          </w:tcPr>
          <w:p w14:paraId="1BB04BD9"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Roofers</w:t>
            </w:r>
          </w:p>
        </w:tc>
        <w:tc>
          <w:tcPr>
            <w:tcW w:w="6351" w:type="dxa"/>
            <w:noWrap/>
            <w:hideMark/>
          </w:tcPr>
          <w:p w14:paraId="555A8C96"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Roofing tar, heat, working at heights</w:t>
            </w:r>
          </w:p>
        </w:tc>
      </w:tr>
      <w:tr w:rsidR="008632F2" w:rsidRPr="000E0C38" w14:paraId="08FF6BFE" w14:textId="77777777" w:rsidTr="00432BEF">
        <w:trPr>
          <w:cnfStyle w:val="000000010000" w:firstRow="0" w:lastRow="0" w:firstColumn="0" w:lastColumn="0" w:oddVBand="0" w:evenVBand="0" w:oddHBand="0" w:evenHBand="1" w:firstRowFirstColumn="0" w:firstRowLastColumn="0" w:lastRowFirstColumn="0" w:lastRowLastColumn="0"/>
          <w:trHeight w:val="255"/>
        </w:trPr>
        <w:tc>
          <w:tcPr>
            <w:tcW w:w="3137" w:type="dxa"/>
            <w:noWrap/>
            <w:hideMark/>
          </w:tcPr>
          <w:p w14:paraId="090005DA" w14:textId="77777777" w:rsidR="008632F2" w:rsidRPr="000E0C38" w:rsidRDefault="008632F2" w:rsidP="008632F2">
            <w:pPr>
              <w:rPr>
                <w:rFonts w:ascii="Arial" w:eastAsia="Times New Roman" w:hAnsi="Arial" w:cs="Arial"/>
                <w:sz w:val="20"/>
                <w:szCs w:val="20"/>
              </w:rPr>
            </w:pPr>
            <w:proofErr w:type="spellStart"/>
            <w:r w:rsidRPr="000E0C38">
              <w:rPr>
                <w:rFonts w:ascii="Arial" w:eastAsia="Times New Roman" w:hAnsi="Arial" w:cs="Arial"/>
                <w:sz w:val="20"/>
                <w:szCs w:val="20"/>
              </w:rPr>
              <w:t>Solderers</w:t>
            </w:r>
            <w:proofErr w:type="spellEnd"/>
          </w:p>
        </w:tc>
        <w:tc>
          <w:tcPr>
            <w:tcW w:w="6351" w:type="dxa"/>
            <w:noWrap/>
            <w:hideMark/>
          </w:tcPr>
          <w:p w14:paraId="60ED41BA"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Metal fumes, lead, cadmium</w:t>
            </w:r>
          </w:p>
        </w:tc>
      </w:tr>
      <w:tr w:rsidR="008632F2" w:rsidRPr="000E0C38" w14:paraId="59112E0C" w14:textId="77777777" w:rsidTr="00432BEF">
        <w:trPr>
          <w:cnfStyle w:val="000000100000" w:firstRow="0" w:lastRow="0" w:firstColumn="0" w:lastColumn="0" w:oddVBand="0" w:evenVBand="0" w:oddHBand="1" w:evenHBand="0" w:firstRowFirstColumn="0" w:firstRowLastColumn="0" w:lastRowFirstColumn="0" w:lastRowLastColumn="0"/>
          <w:trHeight w:val="255"/>
        </w:trPr>
        <w:tc>
          <w:tcPr>
            <w:tcW w:w="3137" w:type="dxa"/>
            <w:noWrap/>
            <w:hideMark/>
          </w:tcPr>
          <w:p w14:paraId="49DEA692"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Truck and tractor equipment operators</w:t>
            </w:r>
          </w:p>
        </w:tc>
        <w:tc>
          <w:tcPr>
            <w:tcW w:w="6351" w:type="dxa"/>
            <w:noWrap/>
            <w:hideMark/>
          </w:tcPr>
          <w:p w14:paraId="7DA90AD3"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Whole-body vibration, diesel engine exhaust</w:t>
            </w:r>
          </w:p>
        </w:tc>
      </w:tr>
      <w:tr w:rsidR="008632F2" w:rsidRPr="000E0C38" w14:paraId="0ADCF4FD" w14:textId="77777777" w:rsidTr="00432BEF">
        <w:trPr>
          <w:cnfStyle w:val="000000010000" w:firstRow="0" w:lastRow="0" w:firstColumn="0" w:lastColumn="0" w:oddVBand="0" w:evenVBand="0" w:oddHBand="0" w:evenHBand="1" w:firstRowFirstColumn="0" w:firstRowLastColumn="0" w:lastRowFirstColumn="0" w:lastRowLastColumn="0"/>
          <w:trHeight w:val="255"/>
        </w:trPr>
        <w:tc>
          <w:tcPr>
            <w:tcW w:w="3137" w:type="dxa"/>
            <w:noWrap/>
            <w:hideMark/>
          </w:tcPr>
          <w:p w14:paraId="032063B2"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Welders</w:t>
            </w:r>
          </w:p>
        </w:tc>
        <w:tc>
          <w:tcPr>
            <w:tcW w:w="6351" w:type="dxa"/>
            <w:noWrap/>
            <w:hideMark/>
          </w:tcPr>
          <w:p w14:paraId="0C9D5545" w14:textId="77777777" w:rsidR="008632F2" w:rsidRPr="000E0C38" w:rsidRDefault="008632F2" w:rsidP="008632F2">
            <w:pPr>
              <w:rPr>
                <w:rFonts w:ascii="Arial" w:eastAsia="Times New Roman" w:hAnsi="Arial" w:cs="Arial"/>
                <w:sz w:val="20"/>
                <w:szCs w:val="20"/>
              </w:rPr>
            </w:pPr>
            <w:r w:rsidRPr="000E0C38">
              <w:rPr>
                <w:rFonts w:ascii="Arial" w:eastAsia="Times New Roman" w:hAnsi="Arial" w:cs="Arial"/>
                <w:sz w:val="20"/>
                <w:szCs w:val="20"/>
              </w:rPr>
              <w:t>Welding emissions</w:t>
            </w:r>
          </w:p>
        </w:tc>
      </w:tr>
    </w:tbl>
    <w:p w14:paraId="59AF4BDE" w14:textId="77777777" w:rsidR="00915624" w:rsidRPr="000E0C38" w:rsidRDefault="008632F2" w:rsidP="00432BEF">
      <w:pPr>
        <w:pStyle w:val="NormalWeb"/>
        <w:spacing w:before="0" w:beforeAutospacing="0" w:after="120" w:afterAutospacing="0"/>
        <w:jc w:val="both"/>
        <w:rPr>
          <w:rFonts w:ascii="Arial" w:eastAsia="SimSun" w:hAnsi="Arial" w:cs="Arial"/>
          <w:sz w:val="16"/>
          <w:szCs w:val="16"/>
          <w:lang w:eastAsia="zh-CN"/>
        </w:rPr>
      </w:pPr>
      <w:r w:rsidRPr="000E0C38">
        <w:rPr>
          <w:rFonts w:ascii="Arial" w:eastAsia="SimSun" w:hAnsi="Arial" w:cs="Arial"/>
          <w:sz w:val="16"/>
          <w:szCs w:val="16"/>
          <w:lang w:eastAsia="zh-CN"/>
        </w:rPr>
        <w:t xml:space="preserve">Source: Weeks: </w:t>
      </w:r>
      <w:r w:rsidRPr="000E0C38">
        <w:rPr>
          <w:rFonts w:ascii="Arial" w:eastAsia="SimSun" w:hAnsi="Arial" w:cs="Arial"/>
          <w:i/>
          <w:sz w:val="16"/>
          <w:szCs w:val="16"/>
          <w:lang w:eastAsia="zh-CN"/>
        </w:rPr>
        <w:t>Health and safety hazards in the construction industry</w:t>
      </w:r>
      <w:r w:rsidRPr="000E0C38">
        <w:rPr>
          <w:rFonts w:ascii="Arial" w:eastAsia="SimSun" w:hAnsi="Arial" w:cs="Arial"/>
          <w:sz w:val="16"/>
          <w:szCs w:val="16"/>
          <w:lang w:eastAsia="zh-CN"/>
        </w:rPr>
        <w:t xml:space="preserve">, op. </w:t>
      </w:r>
      <w:proofErr w:type="spellStart"/>
      <w:r w:rsidRPr="000E0C38">
        <w:rPr>
          <w:rFonts w:ascii="Arial" w:eastAsia="SimSun" w:hAnsi="Arial" w:cs="Arial"/>
          <w:sz w:val="16"/>
          <w:szCs w:val="16"/>
          <w:lang w:eastAsia="zh-CN"/>
        </w:rPr>
        <w:t>cit.</w:t>
      </w:r>
      <w:r w:rsidR="00915624" w:rsidRPr="000E0C38">
        <w:rPr>
          <w:rFonts w:ascii="Arial" w:eastAsia="SimSun" w:hAnsi="Arial" w:cs="Arial"/>
          <w:sz w:val="16"/>
          <w:szCs w:val="16"/>
          <w:lang w:eastAsia="zh-CN"/>
        </w:rPr>
        <w:t>Note</w:t>
      </w:r>
      <w:proofErr w:type="spellEnd"/>
      <w:r w:rsidR="00915624" w:rsidRPr="000E0C38">
        <w:rPr>
          <w:rFonts w:ascii="Arial" w:eastAsia="SimSun" w:hAnsi="Arial" w:cs="Arial"/>
          <w:sz w:val="16"/>
          <w:szCs w:val="16"/>
          <w:lang w:eastAsia="zh-CN"/>
        </w:rPr>
        <w:t xml:space="preserve">: The classifications of construction trades used here are those used in the United States which includes the construction trades as classified in the Standard Occupational Classification system developed by the US Department of Commerce. However, the list contains the main hazards workers face in LICS </w:t>
      </w:r>
      <w:proofErr w:type="spellStart"/>
      <w:r w:rsidR="00915624" w:rsidRPr="000E0C38">
        <w:rPr>
          <w:rFonts w:ascii="Arial" w:eastAsia="SimSun" w:hAnsi="Arial" w:cs="Arial"/>
          <w:sz w:val="16"/>
          <w:szCs w:val="16"/>
          <w:lang w:eastAsia="zh-CN"/>
        </w:rPr>
        <w:t>appart</w:t>
      </w:r>
      <w:proofErr w:type="spellEnd"/>
      <w:r w:rsidR="00915624" w:rsidRPr="000E0C38">
        <w:rPr>
          <w:rFonts w:ascii="Arial" w:eastAsia="SimSun" w:hAnsi="Arial" w:cs="Arial"/>
          <w:sz w:val="16"/>
          <w:szCs w:val="16"/>
          <w:lang w:eastAsia="zh-CN"/>
        </w:rPr>
        <w:t xml:space="preserve"> from the most common construction-heat, risk factors for musculoskeletal disorders and stress- which can be attributable to most occupations.</w:t>
      </w:r>
    </w:p>
    <w:p w14:paraId="079A88E2" w14:textId="77777777" w:rsidR="00A72B87" w:rsidRPr="000E0C38" w:rsidRDefault="00A72B87" w:rsidP="008F4768">
      <w:pPr>
        <w:pStyle w:val="Heading2"/>
        <w:spacing w:before="0"/>
        <w:rPr>
          <w:lang w:eastAsia="zh-CN"/>
        </w:rPr>
      </w:pPr>
      <w:bookmarkStart w:id="21" w:name="_Toc498019394"/>
      <w:r w:rsidRPr="000E0C38">
        <w:rPr>
          <w:lang w:eastAsia="zh-CN"/>
        </w:rPr>
        <w:lastRenderedPageBreak/>
        <w:t>2.4 Working conditions for women</w:t>
      </w:r>
      <w:r w:rsidR="001130DF" w:rsidRPr="000E0C38">
        <w:rPr>
          <w:lang w:eastAsia="zh-CN"/>
        </w:rPr>
        <w:t xml:space="preserve"> and other marginalised groups</w:t>
      </w:r>
      <w:bookmarkEnd w:id="21"/>
    </w:p>
    <w:p w14:paraId="4E81FF7F" w14:textId="77777777" w:rsidR="00A72B87" w:rsidRPr="000E0C38" w:rsidRDefault="00A72B87"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Participation of women in </w:t>
      </w:r>
      <w:r w:rsidR="0089618C" w:rsidRPr="000E0C38">
        <w:rPr>
          <w:rFonts w:ascii="Arial" w:eastAsia="SimSun" w:hAnsi="Arial" w:cs="Arial"/>
          <w:sz w:val="20"/>
          <w:szCs w:val="20"/>
          <w:lang w:eastAsia="zh-CN"/>
        </w:rPr>
        <w:t xml:space="preserve">construction sector </w:t>
      </w:r>
      <w:r w:rsidRPr="000E0C38">
        <w:rPr>
          <w:rFonts w:ascii="Arial" w:eastAsia="SimSun" w:hAnsi="Arial" w:cs="Arial"/>
          <w:sz w:val="20"/>
          <w:szCs w:val="20"/>
          <w:lang w:eastAsia="zh-CN"/>
        </w:rPr>
        <w:t xml:space="preserve">employment is lower than in many other sectors across DFID’s focus countries. In 2014, women made up 9.5 per cent of the world's 273 million construction workers. Sierra Leone, Ethiopia, Liberia, and India have a higher proportion of women working in construction than this. </w:t>
      </w:r>
    </w:p>
    <w:p w14:paraId="6C338A38" w14:textId="77777777" w:rsidR="00A72B87" w:rsidRPr="000E0C38" w:rsidRDefault="00A72B87"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In </w:t>
      </w:r>
      <w:r w:rsidR="00A43AC1" w:rsidRPr="000E0C38">
        <w:rPr>
          <w:rFonts w:ascii="Arial" w:eastAsia="SimSun" w:hAnsi="Arial" w:cs="Arial"/>
          <w:sz w:val="20"/>
          <w:szCs w:val="20"/>
          <w:lang w:eastAsia="zh-CN"/>
        </w:rPr>
        <w:t>some DFID countries (i.e. India and Bangladesh)</w:t>
      </w:r>
      <w:r w:rsidRPr="000E0C38">
        <w:rPr>
          <w:rFonts w:ascii="Arial" w:eastAsia="SimSun" w:hAnsi="Arial" w:cs="Arial"/>
          <w:sz w:val="20"/>
          <w:szCs w:val="20"/>
          <w:lang w:eastAsia="zh-CN"/>
        </w:rPr>
        <w:t>, women</w:t>
      </w:r>
      <w:r w:rsidR="001130DF" w:rsidRPr="000E0C38">
        <w:rPr>
          <w:rFonts w:ascii="Arial" w:eastAsia="SimSun" w:hAnsi="Arial" w:cs="Arial"/>
          <w:sz w:val="20"/>
          <w:szCs w:val="20"/>
          <w:lang w:eastAsia="zh-CN"/>
        </w:rPr>
        <w:t xml:space="preserve"> and other marginalised groups</w:t>
      </w:r>
      <w:r w:rsidRPr="000E0C38">
        <w:rPr>
          <w:rFonts w:ascii="Arial" w:eastAsia="SimSun" w:hAnsi="Arial" w:cs="Arial"/>
          <w:sz w:val="20"/>
          <w:szCs w:val="20"/>
          <w:lang w:eastAsia="zh-CN"/>
        </w:rPr>
        <w:t xml:space="preserve"> perform the most strenuous, dirtiest and physically demanding of tasks, in an already harsh work environment.</w:t>
      </w:r>
      <w:r w:rsidRPr="000E0C38">
        <w:rPr>
          <w:rFonts w:ascii="Arial" w:eastAsia="SimSun" w:hAnsi="Arial" w:cs="Arial"/>
          <w:sz w:val="20"/>
          <w:szCs w:val="20"/>
          <w:vertAlign w:val="superscript"/>
          <w:lang w:eastAsia="zh-CN"/>
        </w:rPr>
        <w:footnoteReference w:id="48"/>
      </w:r>
      <w:r w:rsidRPr="000E0C38">
        <w:rPr>
          <w:rFonts w:ascii="Arial" w:eastAsia="SimSun" w:hAnsi="Arial" w:cs="Arial"/>
          <w:sz w:val="20"/>
          <w:szCs w:val="20"/>
          <w:lang w:eastAsia="zh-CN"/>
        </w:rPr>
        <w:t xml:space="preserve"> These range from cleaning buildi</w:t>
      </w:r>
      <w:r w:rsidR="001F13AA" w:rsidRPr="000E0C38">
        <w:rPr>
          <w:rFonts w:ascii="Arial" w:eastAsia="SimSun" w:hAnsi="Arial" w:cs="Arial"/>
          <w:sz w:val="20"/>
          <w:szCs w:val="20"/>
          <w:lang w:eastAsia="zh-CN"/>
        </w:rPr>
        <w:t>ng sites, brick making and brick</w:t>
      </w:r>
      <w:r w:rsidRPr="000E0C38">
        <w:rPr>
          <w:rFonts w:ascii="Arial" w:eastAsia="SimSun" w:hAnsi="Arial" w:cs="Arial"/>
          <w:sz w:val="20"/>
          <w:szCs w:val="20"/>
          <w:lang w:eastAsia="zh-CN"/>
        </w:rPr>
        <w:t xml:space="preserve"> carrying, to shovelling gravel or digging drains for sewage systems.</w:t>
      </w:r>
      <w:r w:rsidRPr="000E0C38">
        <w:rPr>
          <w:rFonts w:ascii="Arial" w:eastAsia="SimSun" w:hAnsi="Arial" w:cs="Arial"/>
          <w:sz w:val="20"/>
          <w:szCs w:val="20"/>
          <w:vertAlign w:val="superscript"/>
          <w:lang w:eastAsia="zh-CN"/>
        </w:rPr>
        <w:footnoteReference w:id="49"/>
      </w:r>
      <w:r w:rsidR="00FC3489" w:rsidRPr="000E0C38">
        <w:rPr>
          <w:rFonts w:ascii="Arial" w:eastAsia="SimSun" w:hAnsi="Arial" w:cs="Arial"/>
          <w:sz w:val="20"/>
          <w:szCs w:val="20"/>
          <w:lang w:eastAsia="zh-CN"/>
        </w:rPr>
        <w:t xml:space="preserve"> Such tasks are sometimes left to women</w:t>
      </w:r>
      <w:r w:rsidR="001130DF" w:rsidRPr="000E0C38">
        <w:rPr>
          <w:rFonts w:ascii="Arial" w:eastAsia="SimSun" w:hAnsi="Arial" w:cs="Arial"/>
          <w:sz w:val="20"/>
          <w:szCs w:val="20"/>
          <w:lang w:eastAsia="zh-CN"/>
        </w:rPr>
        <w:t xml:space="preserve"> or other excluded sections of society (</w:t>
      </w:r>
      <w:r w:rsidR="005F79D5" w:rsidRPr="000E0C38">
        <w:rPr>
          <w:rFonts w:ascii="Arial" w:eastAsia="SimSun" w:hAnsi="Arial" w:cs="Arial"/>
          <w:sz w:val="20"/>
          <w:szCs w:val="20"/>
          <w:lang w:eastAsia="zh-CN"/>
        </w:rPr>
        <w:t xml:space="preserve">e.g. </w:t>
      </w:r>
      <w:r w:rsidR="001130DF" w:rsidRPr="000E0C38">
        <w:rPr>
          <w:rFonts w:ascii="Arial" w:eastAsia="SimSun" w:hAnsi="Arial" w:cs="Arial"/>
          <w:sz w:val="20"/>
          <w:szCs w:val="20"/>
          <w:lang w:eastAsia="zh-CN"/>
        </w:rPr>
        <w:t xml:space="preserve">based on </w:t>
      </w:r>
      <w:r w:rsidR="005F79D5" w:rsidRPr="000E0C38">
        <w:rPr>
          <w:rFonts w:ascii="Arial" w:eastAsia="SimSun" w:hAnsi="Arial" w:cs="Arial"/>
          <w:sz w:val="20"/>
          <w:szCs w:val="20"/>
          <w:lang w:eastAsia="zh-CN"/>
        </w:rPr>
        <w:t xml:space="preserve">ethnicity or </w:t>
      </w:r>
      <w:r w:rsidR="001130DF" w:rsidRPr="000E0C38">
        <w:rPr>
          <w:rFonts w:ascii="Arial" w:eastAsia="SimSun" w:hAnsi="Arial" w:cs="Arial"/>
          <w:sz w:val="20"/>
          <w:szCs w:val="20"/>
          <w:lang w:eastAsia="zh-CN"/>
        </w:rPr>
        <w:t>caste)</w:t>
      </w:r>
      <w:r w:rsidR="00FC3489" w:rsidRPr="000E0C38">
        <w:rPr>
          <w:rFonts w:ascii="Arial" w:eastAsia="SimSun" w:hAnsi="Arial" w:cs="Arial"/>
          <w:sz w:val="20"/>
          <w:szCs w:val="20"/>
          <w:lang w:eastAsia="zh-CN"/>
        </w:rPr>
        <w:t xml:space="preserve"> due to their lower remuneration. </w:t>
      </w:r>
      <w:r w:rsidRPr="000E0C38">
        <w:rPr>
          <w:rFonts w:ascii="Arial" w:eastAsia="SimSun" w:hAnsi="Arial" w:cs="Arial"/>
          <w:sz w:val="20"/>
          <w:szCs w:val="20"/>
          <w:lang w:eastAsia="zh-CN"/>
        </w:rPr>
        <w:t xml:space="preserve">Similarly, a study of informal construction workers in Dar </w:t>
      </w:r>
      <w:proofErr w:type="spellStart"/>
      <w:r w:rsidRPr="000E0C38">
        <w:rPr>
          <w:rFonts w:ascii="Arial" w:eastAsia="SimSun" w:hAnsi="Arial" w:cs="Arial"/>
          <w:sz w:val="20"/>
          <w:szCs w:val="20"/>
          <w:lang w:eastAsia="zh-CN"/>
        </w:rPr>
        <w:t>es</w:t>
      </w:r>
      <w:proofErr w:type="spellEnd"/>
      <w:r w:rsidRPr="000E0C38">
        <w:rPr>
          <w:rFonts w:ascii="Arial" w:eastAsia="SimSun" w:hAnsi="Arial" w:cs="Arial"/>
          <w:sz w:val="20"/>
          <w:szCs w:val="20"/>
          <w:lang w:eastAsia="zh-CN"/>
        </w:rPr>
        <w:t xml:space="preserve"> Salaam (United Republic of Tanzania) revealed that women’s main tasks include stone crushing, selling food to workers on construction sites, and working in offices as storekeepers and cleaners.</w:t>
      </w:r>
      <w:r w:rsidRPr="000E0C38">
        <w:rPr>
          <w:rFonts w:ascii="Arial" w:eastAsia="SimSun" w:hAnsi="Arial" w:cs="Arial"/>
          <w:sz w:val="20"/>
          <w:szCs w:val="20"/>
          <w:vertAlign w:val="superscript"/>
          <w:lang w:eastAsia="zh-CN"/>
        </w:rPr>
        <w:footnoteReference w:id="50"/>
      </w:r>
      <w:r w:rsidRPr="000E0C38">
        <w:rPr>
          <w:rFonts w:ascii="Arial" w:eastAsia="SimSun" w:hAnsi="Arial" w:cs="Arial"/>
          <w:sz w:val="20"/>
          <w:szCs w:val="20"/>
          <w:lang w:eastAsia="zh-CN"/>
        </w:rPr>
        <w:t xml:space="preserve"> V</w:t>
      </w:r>
      <w:r w:rsidR="001F13AA" w:rsidRPr="000E0C38">
        <w:rPr>
          <w:rFonts w:ascii="Arial" w:eastAsia="SimSun" w:hAnsi="Arial" w:cs="Arial"/>
          <w:sz w:val="20"/>
          <w:szCs w:val="20"/>
          <w:lang w:eastAsia="zh-CN"/>
        </w:rPr>
        <w:t>ery few women work</w:t>
      </w:r>
      <w:r w:rsidRPr="000E0C38">
        <w:rPr>
          <w:rFonts w:ascii="Arial" w:eastAsia="SimSun" w:hAnsi="Arial" w:cs="Arial"/>
          <w:sz w:val="20"/>
          <w:szCs w:val="20"/>
          <w:lang w:eastAsia="zh-CN"/>
        </w:rPr>
        <w:t xml:space="preserve"> in technical occupations, such as masonry, carpentry or electricity.</w:t>
      </w:r>
      <w:r w:rsidR="00FC3489" w:rsidRPr="000E0C38">
        <w:rPr>
          <w:rFonts w:ascii="Arial" w:eastAsia="SimSun" w:hAnsi="Arial" w:cs="Arial"/>
          <w:sz w:val="20"/>
          <w:szCs w:val="20"/>
          <w:lang w:eastAsia="zh-CN"/>
        </w:rPr>
        <w:t xml:space="preserve"> </w:t>
      </w:r>
    </w:p>
    <w:p w14:paraId="104A7371" w14:textId="77777777" w:rsidR="00A72B87" w:rsidRPr="000E0C38" w:rsidRDefault="00A72B87" w:rsidP="0089618C">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Women join the sector </w:t>
      </w:r>
      <w:r w:rsidR="001F13AA" w:rsidRPr="000E0C38">
        <w:rPr>
          <w:rFonts w:ascii="Arial" w:eastAsia="SimSun" w:hAnsi="Arial" w:cs="Arial"/>
          <w:sz w:val="20"/>
          <w:szCs w:val="20"/>
          <w:lang w:eastAsia="zh-CN"/>
        </w:rPr>
        <w:t xml:space="preserve">in </w:t>
      </w:r>
      <w:r w:rsidRPr="000E0C38">
        <w:rPr>
          <w:rFonts w:ascii="Arial" w:eastAsia="SimSun" w:hAnsi="Arial" w:cs="Arial"/>
          <w:sz w:val="20"/>
          <w:szCs w:val="20"/>
          <w:lang w:eastAsia="zh-CN"/>
        </w:rPr>
        <w:t>non-skilled occupations and often perform similar tasks until the end of their working life. A study measuring the intensity of work done by women in the construction sector in India revealed the hard tasks that women perform.</w:t>
      </w:r>
      <w:r w:rsidRPr="000E0C38">
        <w:rPr>
          <w:rFonts w:ascii="Arial" w:eastAsia="SimSun" w:hAnsi="Arial" w:cs="Arial"/>
          <w:sz w:val="20"/>
          <w:szCs w:val="20"/>
          <w:vertAlign w:val="superscript"/>
          <w:lang w:eastAsia="zh-CN"/>
        </w:rPr>
        <w:footnoteReference w:id="51"/>
      </w:r>
      <w:r w:rsidRPr="000E0C38">
        <w:rPr>
          <w:rFonts w:ascii="Arial" w:eastAsia="SimSun" w:hAnsi="Arial" w:cs="Arial"/>
          <w:sz w:val="20"/>
          <w:szCs w:val="20"/>
          <w:lang w:eastAsia="zh-CN"/>
        </w:rPr>
        <w:t xml:space="preserve"> The study found that women carry on average 9-12 bricks (each weighing 2.5kg) on their head along scaffolding. While performing earth work, women carry 15kg of mud on their head and walk 30 feet to deposit the mud and return. Performing the same task 180 times in an hour means that in an 8-hour shift, a woman would walk 13kms carrying 21,000 kg of mud.</w:t>
      </w:r>
      <w:r w:rsidR="00FC3489" w:rsidRPr="000E0C38">
        <w:rPr>
          <w:rFonts w:ascii="Arial" w:eastAsia="SimSun" w:hAnsi="Arial" w:cs="Arial"/>
          <w:sz w:val="20"/>
          <w:szCs w:val="20"/>
          <w:lang w:eastAsia="zh-CN"/>
        </w:rPr>
        <w:t xml:space="preserve"> In the case of India there is a clear identification of occupations with gender, which makes it difficult for women to perform more skilled tasks.</w:t>
      </w:r>
    </w:p>
    <w:p w14:paraId="133B7B83" w14:textId="77777777" w:rsidR="00A72B87" w:rsidRPr="000E0C38" w:rsidRDefault="00A72B87"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Women generally are less recognised than male workers: they get lower pay, the rate of accidents for women is higher, and they</w:t>
      </w:r>
      <w:r w:rsidR="001F13AA" w:rsidRPr="000E0C38">
        <w:rPr>
          <w:rFonts w:ascii="Arial" w:eastAsia="SimSun" w:hAnsi="Arial" w:cs="Arial"/>
          <w:sz w:val="20"/>
          <w:szCs w:val="20"/>
          <w:lang w:eastAsia="zh-CN"/>
        </w:rPr>
        <w:t xml:space="preserve"> are commonly sexually harassed.</w:t>
      </w:r>
      <w:r w:rsidRPr="000E0C38">
        <w:rPr>
          <w:rFonts w:ascii="Arial" w:eastAsia="SimSun" w:hAnsi="Arial" w:cs="Arial"/>
          <w:sz w:val="20"/>
          <w:szCs w:val="20"/>
          <w:lang w:eastAsia="zh-CN"/>
        </w:rPr>
        <w:t xml:space="preserve"> Employers generally consider them as mere helpers, and pay them less than male labourers.</w:t>
      </w:r>
      <w:r w:rsidRPr="000E0C38">
        <w:rPr>
          <w:rFonts w:ascii="Arial" w:eastAsia="SimSun" w:hAnsi="Arial" w:cs="Arial"/>
          <w:sz w:val="20"/>
          <w:szCs w:val="20"/>
          <w:vertAlign w:val="superscript"/>
          <w:lang w:eastAsia="zh-CN"/>
        </w:rPr>
        <w:footnoteReference w:id="52"/>
      </w:r>
      <w:r w:rsidRPr="000E0C38">
        <w:rPr>
          <w:rFonts w:ascii="Arial" w:eastAsia="SimSun" w:hAnsi="Arial" w:cs="Arial"/>
          <w:sz w:val="20"/>
          <w:szCs w:val="20"/>
          <w:lang w:eastAsia="zh-CN"/>
        </w:rPr>
        <w:t xml:space="preserve"> A survey of 2,600 construction workers in five cities of India found open inequality in pay with women earning 10-20 per cent less than men for similar work.</w:t>
      </w:r>
      <w:r w:rsidRPr="000E0C38">
        <w:rPr>
          <w:rFonts w:ascii="Arial" w:eastAsia="SimSun" w:hAnsi="Arial" w:cs="Arial"/>
          <w:sz w:val="20"/>
          <w:szCs w:val="20"/>
          <w:vertAlign w:val="superscript"/>
          <w:lang w:eastAsia="zh-CN"/>
        </w:rPr>
        <w:footnoteReference w:id="53"/>
      </w:r>
      <w:r w:rsidRPr="000E0C38">
        <w:rPr>
          <w:rFonts w:ascii="Arial" w:eastAsia="SimSun" w:hAnsi="Arial" w:cs="Arial"/>
          <w:sz w:val="20"/>
          <w:szCs w:val="20"/>
          <w:lang w:eastAsia="zh-CN"/>
        </w:rPr>
        <w:t xml:space="preserve"> The physical hardships and their consequent effects upon women's health – especially to pregnant women and lactating mothers – are important issues. Carrying heavy loads up ladders and over uneven surfaces can cause spontaneous miscarriages as there is no provision of maternity benefits for women construction workers, or crèche facilities. </w:t>
      </w:r>
    </w:p>
    <w:p w14:paraId="6BFE12AD" w14:textId="77777777" w:rsidR="003E6142" w:rsidRPr="000E0C38" w:rsidRDefault="001F13AA"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The</w:t>
      </w:r>
      <w:r w:rsidR="003E6142" w:rsidRPr="000E0C38">
        <w:rPr>
          <w:rFonts w:ascii="Arial" w:eastAsia="SimSun" w:hAnsi="Arial" w:cs="Arial"/>
          <w:sz w:val="20"/>
          <w:szCs w:val="20"/>
          <w:lang w:eastAsia="zh-CN"/>
        </w:rPr>
        <w:t xml:space="preserve"> risk </w:t>
      </w:r>
      <w:r w:rsidRPr="000E0C38">
        <w:rPr>
          <w:rFonts w:ascii="Arial" w:eastAsia="SimSun" w:hAnsi="Arial" w:cs="Arial"/>
          <w:sz w:val="20"/>
          <w:szCs w:val="20"/>
          <w:lang w:eastAsia="zh-CN"/>
        </w:rPr>
        <w:t>of</w:t>
      </w:r>
      <w:r w:rsidR="003E6142" w:rsidRPr="000E0C38">
        <w:rPr>
          <w:rFonts w:ascii="Arial" w:eastAsia="SimSun" w:hAnsi="Arial" w:cs="Arial"/>
          <w:sz w:val="20"/>
          <w:szCs w:val="20"/>
          <w:lang w:eastAsia="zh-CN"/>
        </w:rPr>
        <w:t xml:space="preserve"> sexual harassment and abuse</w:t>
      </w:r>
      <w:r w:rsidRPr="000E0C38">
        <w:rPr>
          <w:rFonts w:ascii="Arial" w:eastAsia="SimSun" w:hAnsi="Arial" w:cs="Arial"/>
          <w:sz w:val="20"/>
          <w:szCs w:val="20"/>
          <w:lang w:eastAsia="zh-CN"/>
        </w:rPr>
        <w:t xml:space="preserve"> is higher for women contracted in infrastructure projects</w:t>
      </w:r>
      <w:r w:rsidR="003E6142" w:rsidRPr="000E0C38">
        <w:rPr>
          <w:rFonts w:ascii="Arial" w:eastAsia="SimSun" w:hAnsi="Arial" w:cs="Arial"/>
          <w:sz w:val="20"/>
          <w:szCs w:val="20"/>
          <w:lang w:eastAsia="zh-CN"/>
        </w:rPr>
        <w:t>.</w:t>
      </w:r>
      <w:r w:rsidR="003E6142" w:rsidRPr="000E0C38">
        <w:rPr>
          <w:rFonts w:ascii="Arial" w:eastAsia="SimSun" w:hAnsi="Arial" w:cs="Arial"/>
          <w:sz w:val="20"/>
          <w:szCs w:val="20"/>
          <w:vertAlign w:val="superscript"/>
          <w:lang w:eastAsia="zh-CN"/>
        </w:rPr>
        <w:footnoteReference w:id="54"/>
      </w:r>
      <w:r w:rsidR="003E6142" w:rsidRPr="000E0C38">
        <w:rPr>
          <w:rFonts w:ascii="Arial" w:eastAsia="SimSun" w:hAnsi="Arial" w:cs="Arial"/>
          <w:sz w:val="20"/>
          <w:szCs w:val="20"/>
          <w:lang w:eastAsia="zh-CN"/>
        </w:rPr>
        <w:t xml:space="preserve"> A report from Human Rights Watch found that female construction workers in Sylhet city Bangladesh described being economically exploited, verbally abused, and sexually harassed, mostly by co-workers or construction supervisors.</w:t>
      </w:r>
      <w:r w:rsidR="003E6142" w:rsidRPr="000E0C38">
        <w:rPr>
          <w:rFonts w:ascii="Arial" w:eastAsia="SimSun" w:hAnsi="Arial" w:cs="Arial"/>
          <w:sz w:val="20"/>
          <w:szCs w:val="20"/>
          <w:vertAlign w:val="superscript"/>
          <w:lang w:eastAsia="zh-CN"/>
        </w:rPr>
        <w:footnoteReference w:id="55"/>
      </w:r>
      <w:r w:rsidR="003E6142" w:rsidRPr="000E0C38">
        <w:rPr>
          <w:rFonts w:ascii="Arial" w:eastAsia="SimSun" w:hAnsi="Arial" w:cs="Arial"/>
          <w:sz w:val="20"/>
          <w:szCs w:val="20"/>
          <w:lang w:eastAsia="zh-CN"/>
        </w:rPr>
        <w:t xml:space="preserve"> Women and girls living in communities receiving large influxes of male workers (contracted </w:t>
      </w:r>
      <w:r w:rsidRPr="000E0C38">
        <w:rPr>
          <w:rFonts w:ascii="Arial" w:eastAsia="SimSun" w:hAnsi="Arial" w:cs="Arial"/>
          <w:sz w:val="20"/>
          <w:szCs w:val="20"/>
          <w:lang w:eastAsia="zh-CN"/>
        </w:rPr>
        <w:t>o</w:t>
      </w:r>
      <w:r w:rsidR="003E6142" w:rsidRPr="000E0C38">
        <w:rPr>
          <w:rFonts w:ascii="Arial" w:eastAsia="SimSun" w:hAnsi="Arial" w:cs="Arial"/>
          <w:sz w:val="20"/>
          <w:szCs w:val="20"/>
          <w:lang w:eastAsia="zh-CN"/>
        </w:rPr>
        <w:t>n large construction projects), also face increased risks of sexual exploitation and violence.</w:t>
      </w:r>
      <w:r w:rsidR="003E6142" w:rsidRPr="000E0C38">
        <w:rPr>
          <w:rFonts w:ascii="Arial" w:eastAsia="SimSun" w:hAnsi="Arial" w:cs="Arial"/>
          <w:sz w:val="20"/>
          <w:szCs w:val="20"/>
          <w:vertAlign w:val="superscript"/>
          <w:lang w:eastAsia="zh-CN"/>
        </w:rPr>
        <w:footnoteReference w:id="56"/>
      </w:r>
      <w:r w:rsidR="003E6142" w:rsidRPr="000E0C38">
        <w:rPr>
          <w:rFonts w:ascii="Arial" w:eastAsia="SimSun" w:hAnsi="Arial" w:cs="Arial"/>
          <w:sz w:val="20"/>
          <w:szCs w:val="20"/>
          <w:lang w:eastAsia="zh-CN"/>
        </w:rPr>
        <w:t xml:space="preserve"> </w:t>
      </w:r>
    </w:p>
    <w:p w14:paraId="0D1F58A2" w14:textId="77777777" w:rsidR="00A72B87" w:rsidRPr="000E0C38" w:rsidRDefault="00A72B87"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Women in most LICs are often unaware of their rights, or are scared to complain for fear of losing their jobs.</w:t>
      </w:r>
      <w:r w:rsidRPr="000E0C38">
        <w:rPr>
          <w:rFonts w:ascii="Arial" w:eastAsia="SimSun" w:hAnsi="Arial" w:cs="Arial"/>
          <w:sz w:val="20"/>
          <w:szCs w:val="20"/>
          <w:vertAlign w:val="superscript"/>
          <w:lang w:eastAsia="zh-CN"/>
        </w:rPr>
        <w:footnoteReference w:id="57"/>
      </w:r>
      <w:r w:rsidRPr="000E0C38">
        <w:rPr>
          <w:rFonts w:ascii="Arial" w:eastAsia="SimSun" w:hAnsi="Arial" w:cs="Arial"/>
          <w:sz w:val="20"/>
          <w:szCs w:val="20"/>
          <w:lang w:eastAsia="zh-CN"/>
        </w:rPr>
        <w:t xml:space="preserve"> </w:t>
      </w:r>
      <w:r w:rsidR="00FE4CD6" w:rsidRPr="000E0C38">
        <w:rPr>
          <w:rFonts w:ascii="Arial" w:eastAsia="SimSun" w:hAnsi="Arial" w:cs="Arial"/>
          <w:sz w:val="20"/>
          <w:szCs w:val="20"/>
          <w:lang w:eastAsia="zh-CN"/>
        </w:rPr>
        <w:t>Women working and living in or around working sites away from their homes are potentially more vulnerable because of the lack of supporting networks.</w:t>
      </w:r>
      <w:r w:rsidR="003E6142" w:rsidRPr="000E0C38">
        <w:rPr>
          <w:rFonts w:ascii="Arial" w:eastAsia="SimSun" w:hAnsi="Arial" w:cs="Arial"/>
          <w:sz w:val="20"/>
          <w:szCs w:val="20"/>
          <w:vertAlign w:val="superscript"/>
          <w:lang w:eastAsia="zh-CN"/>
        </w:rPr>
        <w:footnoteReference w:id="58"/>
      </w:r>
      <w:r w:rsidRPr="000E0C38">
        <w:rPr>
          <w:rFonts w:ascii="Arial" w:eastAsia="SimSun" w:hAnsi="Arial" w:cs="Arial"/>
          <w:sz w:val="20"/>
          <w:szCs w:val="20"/>
          <w:lang w:eastAsia="zh-CN"/>
        </w:rPr>
        <w:t xml:space="preserve"> Their living conditions are many times worse</w:t>
      </w:r>
      <w:r w:rsidR="00FE4CD6" w:rsidRPr="000E0C38">
        <w:rPr>
          <w:rFonts w:ascii="Arial" w:eastAsia="SimSun" w:hAnsi="Arial" w:cs="Arial"/>
          <w:sz w:val="20"/>
          <w:szCs w:val="20"/>
          <w:lang w:eastAsia="zh-CN"/>
        </w:rPr>
        <w:t xml:space="preserve"> than non-migrant women in the sector</w:t>
      </w:r>
      <w:r w:rsidRPr="000E0C38">
        <w:rPr>
          <w:rFonts w:ascii="Times New Roman" w:eastAsia="SimSun" w:hAnsi="Times New Roman"/>
          <w:szCs w:val="22"/>
          <w:lang w:eastAsia="zh-CN"/>
        </w:rPr>
        <w:t>,</w:t>
      </w:r>
      <w:r w:rsidRPr="000E0C38">
        <w:rPr>
          <w:rFonts w:ascii="Arial" w:eastAsia="SimSun" w:hAnsi="Arial" w:cs="Arial"/>
          <w:sz w:val="20"/>
          <w:szCs w:val="20"/>
          <w:lang w:eastAsia="zh-CN"/>
        </w:rPr>
        <w:t xml:space="preserve"> often with no water supplies or toilets, nor places to leave the children when they work. Bringing their children to worksites increases risks to safety as well as prevalence of </w:t>
      </w:r>
      <w:r w:rsidR="001F13AA" w:rsidRPr="000E0C38">
        <w:rPr>
          <w:rFonts w:ascii="Arial" w:eastAsia="SimSun" w:hAnsi="Arial" w:cs="Arial"/>
          <w:sz w:val="20"/>
          <w:szCs w:val="20"/>
          <w:lang w:eastAsia="zh-CN"/>
        </w:rPr>
        <w:t>child labour.</w:t>
      </w:r>
    </w:p>
    <w:p w14:paraId="0697F3FB" w14:textId="77777777" w:rsidR="008632F2" w:rsidRPr="000E0C38" w:rsidRDefault="00B11C23" w:rsidP="008F4768">
      <w:pPr>
        <w:pStyle w:val="Heading2"/>
        <w:spacing w:before="0"/>
        <w:rPr>
          <w:lang w:eastAsia="zh-CN"/>
        </w:rPr>
      </w:pPr>
      <w:bookmarkStart w:id="22" w:name="_Toc498019395"/>
      <w:r w:rsidRPr="000E0C38">
        <w:rPr>
          <w:lang w:eastAsia="zh-CN"/>
        </w:rPr>
        <w:lastRenderedPageBreak/>
        <w:t>2.5 Child</w:t>
      </w:r>
      <w:r w:rsidR="008632F2" w:rsidRPr="000E0C38">
        <w:rPr>
          <w:lang w:eastAsia="zh-CN"/>
        </w:rPr>
        <w:t xml:space="preserve"> </w:t>
      </w:r>
      <w:r w:rsidR="007019F2" w:rsidRPr="000E0C38">
        <w:rPr>
          <w:lang w:eastAsia="zh-CN"/>
        </w:rPr>
        <w:t xml:space="preserve">labour </w:t>
      </w:r>
      <w:r w:rsidR="008632F2" w:rsidRPr="000E0C38">
        <w:rPr>
          <w:lang w:eastAsia="zh-CN"/>
        </w:rPr>
        <w:t>in construction supply chains</w:t>
      </w:r>
      <w:bookmarkEnd w:id="22"/>
    </w:p>
    <w:p w14:paraId="0E778F58" w14:textId="77777777" w:rsidR="008632F2" w:rsidRPr="000E0C38" w:rsidRDefault="00F36CA0"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Worldwide, some 215 million children are </w:t>
      </w:r>
      <w:r w:rsidR="00F90F59" w:rsidRPr="000E0C38">
        <w:rPr>
          <w:rFonts w:ascii="Arial" w:eastAsia="SimSun" w:hAnsi="Arial" w:cs="Arial"/>
          <w:sz w:val="20"/>
          <w:szCs w:val="20"/>
          <w:lang w:eastAsia="zh-CN"/>
        </w:rPr>
        <w:t>in work</w:t>
      </w:r>
      <w:r w:rsidRPr="000E0C38">
        <w:rPr>
          <w:rFonts w:ascii="Arial" w:eastAsia="SimSun" w:hAnsi="Arial" w:cs="Arial"/>
          <w:sz w:val="20"/>
          <w:szCs w:val="20"/>
          <w:lang w:eastAsia="zh-CN"/>
        </w:rPr>
        <w:t>,</w:t>
      </w:r>
      <w:r w:rsidR="00F90F59" w:rsidRPr="000E0C38">
        <w:rPr>
          <w:rFonts w:ascii="Arial" w:eastAsia="SimSun" w:hAnsi="Arial" w:cs="Arial"/>
          <w:sz w:val="20"/>
          <w:szCs w:val="20"/>
          <w:lang w:eastAsia="zh-CN"/>
        </w:rPr>
        <w:t xml:space="preserve"> with </w:t>
      </w:r>
      <w:r w:rsidRPr="000E0C38">
        <w:rPr>
          <w:rFonts w:ascii="Arial" w:eastAsia="SimSun" w:hAnsi="Arial" w:cs="Arial"/>
          <w:sz w:val="20"/>
          <w:szCs w:val="20"/>
          <w:lang w:eastAsia="zh-CN"/>
        </w:rPr>
        <w:t>m</w:t>
      </w:r>
      <w:r w:rsidR="008632F2" w:rsidRPr="000E0C38">
        <w:rPr>
          <w:rFonts w:ascii="Arial" w:eastAsia="SimSun" w:hAnsi="Arial" w:cs="Arial"/>
          <w:sz w:val="20"/>
          <w:szCs w:val="20"/>
          <w:lang w:eastAsia="zh-CN"/>
        </w:rPr>
        <w:t xml:space="preserve">ore than 100 million children trapped in hazardous </w:t>
      </w:r>
      <w:r w:rsidR="00F90F59" w:rsidRPr="000E0C38">
        <w:rPr>
          <w:rFonts w:ascii="Arial" w:eastAsia="SimSun" w:hAnsi="Arial" w:cs="Arial"/>
          <w:sz w:val="20"/>
          <w:szCs w:val="20"/>
          <w:lang w:eastAsia="zh-CN"/>
        </w:rPr>
        <w:t>occupations.</w:t>
      </w:r>
      <w:r w:rsidR="008632F2" w:rsidRPr="000E0C38">
        <w:rPr>
          <w:rFonts w:ascii="Arial" w:eastAsia="SimSun" w:hAnsi="Arial" w:cs="Arial"/>
          <w:sz w:val="20"/>
          <w:szCs w:val="20"/>
          <w:vertAlign w:val="superscript"/>
          <w:lang w:eastAsia="zh-CN"/>
        </w:rPr>
        <w:footnoteReference w:id="59"/>
      </w:r>
      <w:r w:rsidR="008632F2" w:rsidRPr="000E0C38">
        <w:rPr>
          <w:rFonts w:ascii="Arial" w:eastAsia="SimSun" w:hAnsi="Arial" w:cs="Arial"/>
          <w:sz w:val="20"/>
          <w:szCs w:val="20"/>
          <w:lang w:eastAsia="zh-CN"/>
        </w:rPr>
        <w:t xml:space="preserve"> Nearly half of all the </w:t>
      </w:r>
      <w:r w:rsidR="00CA502C" w:rsidRPr="000E0C38">
        <w:rPr>
          <w:rFonts w:ascii="Arial" w:eastAsia="SimSun" w:hAnsi="Arial" w:cs="Arial"/>
          <w:sz w:val="20"/>
          <w:szCs w:val="20"/>
          <w:lang w:eastAsia="zh-CN"/>
        </w:rPr>
        <w:t xml:space="preserve">working </w:t>
      </w:r>
      <w:r w:rsidR="008632F2" w:rsidRPr="000E0C38">
        <w:rPr>
          <w:rFonts w:ascii="Arial" w:eastAsia="SimSun" w:hAnsi="Arial" w:cs="Arial"/>
          <w:sz w:val="20"/>
          <w:szCs w:val="20"/>
          <w:lang w:eastAsia="zh-CN"/>
        </w:rPr>
        <w:t xml:space="preserve">children </w:t>
      </w:r>
      <w:r w:rsidR="00CA502C" w:rsidRPr="000E0C38">
        <w:rPr>
          <w:rFonts w:ascii="Arial" w:eastAsia="SimSun" w:hAnsi="Arial" w:cs="Arial"/>
          <w:sz w:val="20"/>
          <w:szCs w:val="20"/>
          <w:lang w:eastAsia="zh-CN"/>
        </w:rPr>
        <w:t xml:space="preserve">are </w:t>
      </w:r>
      <w:r w:rsidR="008632F2" w:rsidRPr="000E0C38">
        <w:rPr>
          <w:rFonts w:ascii="Arial" w:eastAsia="SimSun" w:hAnsi="Arial" w:cs="Arial"/>
          <w:sz w:val="20"/>
          <w:szCs w:val="20"/>
          <w:lang w:eastAsia="zh-CN"/>
        </w:rPr>
        <w:t xml:space="preserve">in the </w:t>
      </w:r>
      <w:r w:rsidR="00B11C23" w:rsidRPr="000E0C38">
        <w:rPr>
          <w:rFonts w:ascii="Arial" w:eastAsia="SimSun" w:hAnsi="Arial" w:cs="Arial"/>
          <w:sz w:val="20"/>
          <w:szCs w:val="20"/>
          <w:lang w:eastAsia="zh-CN"/>
        </w:rPr>
        <w:t>construction industry</w:t>
      </w:r>
      <w:r w:rsidR="00CA502C" w:rsidRPr="000E0C38">
        <w:rPr>
          <w:rFonts w:ascii="Arial" w:eastAsia="SimSun" w:hAnsi="Arial" w:cs="Arial"/>
          <w:sz w:val="20"/>
          <w:szCs w:val="20"/>
          <w:lang w:eastAsia="zh-CN"/>
        </w:rPr>
        <w:t xml:space="preserve"> or sectors in </w:t>
      </w:r>
      <w:r w:rsidR="00D60DB7" w:rsidRPr="000E0C38">
        <w:rPr>
          <w:rFonts w:ascii="Arial" w:eastAsia="SimSun" w:hAnsi="Arial" w:cs="Arial"/>
          <w:sz w:val="20"/>
          <w:szCs w:val="20"/>
          <w:lang w:eastAsia="zh-CN"/>
        </w:rPr>
        <w:t>its</w:t>
      </w:r>
      <w:r w:rsidR="00CA502C" w:rsidRPr="000E0C38">
        <w:rPr>
          <w:rFonts w:ascii="Arial" w:eastAsia="SimSun" w:hAnsi="Arial" w:cs="Arial"/>
          <w:sz w:val="20"/>
          <w:szCs w:val="20"/>
          <w:lang w:eastAsia="zh-CN"/>
        </w:rPr>
        <w:t xml:space="preserve"> value chain, such as</w:t>
      </w:r>
      <w:r w:rsidR="008632F2" w:rsidRPr="000E0C38">
        <w:rPr>
          <w:rFonts w:ascii="Arial" w:eastAsia="SimSun" w:hAnsi="Arial" w:cs="Arial"/>
          <w:sz w:val="20"/>
          <w:szCs w:val="20"/>
          <w:lang w:eastAsia="zh-CN"/>
        </w:rPr>
        <w:t xml:space="preserve"> brick kiln, stone quarrying, wood</w:t>
      </w:r>
      <w:r w:rsidR="001F13AA" w:rsidRPr="000E0C38">
        <w:rPr>
          <w:rFonts w:ascii="Arial" w:eastAsia="SimSun" w:hAnsi="Arial" w:cs="Arial"/>
          <w:sz w:val="20"/>
          <w:szCs w:val="20"/>
          <w:lang w:eastAsia="zh-CN"/>
        </w:rPr>
        <w:t>,</w:t>
      </w:r>
      <w:r w:rsidR="008632F2" w:rsidRPr="000E0C38">
        <w:rPr>
          <w:rFonts w:ascii="Arial" w:eastAsia="SimSun" w:hAnsi="Arial" w:cs="Arial"/>
          <w:sz w:val="20"/>
          <w:szCs w:val="20"/>
          <w:lang w:eastAsia="zh-CN"/>
        </w:rPr>
        <w:t xml:space="preserve"> and forestry</w:t>
      </w:r>
      <w:r w:rsidR="00982322" w:rsidRPr="000E0C38">
        <w:rPr>
          <w:rFonts w:ascii="Arial" w:eastAsia="SimSun" w:hAnsi="Arial" w:cs="Arial"/>
          <w:sz w:val="20"/>
          <w:szCs w:val="20"/>
          <w:lang w:eastAsia="zh-CN"/>
        </w:rPr>
        <w:t xml:space="preserve">. </w:t>
      </w:r>
      <w:r w:rsidR="001F13AA" w:rsidRPr="000E0C38">
        <w:rPr>
          <w:rFonts w:ascii="Arial" w:eastAsia="SimSun" w:hAnsi="Arial" w:cs="Arial"/>
          <w:sz w:val="20"/>
          <w:szCs w:val="20"/>
          <w:lang w:eastAsia="zh-CN"/>
        </w:rPr>
        <w:t>C</w:t>
      </w:r>
      <w:r w:rsidR="008632F2" w:rsidRPr="000E0C38">
        <w:rPr>
          <w:rFonts w:ascii="Arial" w:eastAsia="SimSun" w:hAnsi="Arial" w:cs="Arial"/>
          <w:sz w:val="20"/>
          <w:szCs w:val="20"/>
          <w:lang w:eastAsia="zh-CN"/>
        </w:rPr>
        <w:t xml:space="preserve">hildren are </w:t>
      </w:r>
      <w:r w:rsidR="001F13AA" w:rsidRPr="000E0C38">
        <w:rPr>
          <w:rFonts w:ascii="Arial" w:eastAsia="SimSun" w:hAnsi="Arial" w:cs="Arial"/>
          <w:sz w:val="20"/>
          <w:szCs w:val="20"/>
          <w:lang w:eastAsia="zh-CN"/>
        </w:rPr>
        <w:t xml:space="preserve">often </w:t>
      </w:r>
      <w:r w:rsidR="008632F2" w:rsidRPr="000E0C38">
        <w:rPr>
          <w:rFonts w:ascii="Arial" w:eastAsia="SimSun" w:hAnsi="Arial" w:cs="Arial"/>
          <w:sz w:val="20"/>
          <w:szCs w:val="20"/>
          <w:lang w:eastAsia="zh-CN"/>
        </w:rPr>
        <w:t>forced to work for little or no wages</w:t>
      </w:r>
      <w:r w:rsidR="00982322" w:rsidRPr="000E0C38">
        <w:rPr>
          <w:rFonts w:ascii="Arial" w:eastAsia="SimSun" w:hAnsi="Arial" w:cs="Arial"/>
          <w:sz w:val="20"/>
          <w:szCs w:val="20"/>
          <w:lang w:eastAsia="zh-CN"/>
        </w:rPr>
        <w:t>, many times</w:t>
      </w:r>
      <w:r w:rsidR="008632F2" w:rsidRPr="000E0C38">
        <w:rPr>
          <w:rFonts w:ascii="Arial" w:eastAsia="SimSun" w:hAnsi="Arial" w:cs="Arial"/>
          <w:sz w:val="20"/>
          <w:szCs w:val="20"/>
          <w:lang w:eastAsia="zh-CN"/>
        </w:rPr>
        <w:t xml:space="preserve"> in life threatening conditions.</w:t>
      </w:r>
      <w:r w:rsidR="008632F2" w:rsidRPr="000E0C38">
        <w:rPr>
          <w:rFonts w:ascii="Arial" w:eastAsia="SimSun" w:hAnsi="Arial" w:cs="Arial"/>
          <w:sz w:val="20"/>
          <w:szCs w:val="20"/>
          <w:vertAlign w:val="superscript"/>
          <w:lang w:eastAsia="zh-CN"/>
        </w:rPr>
        <w:footnoteReference w:id="60"/>
      </w:r>
      <w:r w:rsidR="008632F2" w:rsidRPr="000E0C38">
        <w:rPr>
          <w:rFonts w:ascii="Arial" w:eastAsia="SimSun" w:hAnsi="Arial" w:cs="Arial"/>
          <w:sz w:val="20"/>
          <w:szCs w:val="20"/>
          <w:lang w:eastAsia="zh-CN"/>
        </w:rPr>
        <w:t xml:space="preserve"> Most </w:t>
      </w:r>
      <w:r w:rsidR="00982322" w:rsidRPr="000E0C38">
        <w:rPr>
          <w:rFonts w:ascii="Arial" w:eastAsia="SimSun" w:hAnsi="Arial" w:cs="Arial"/>
          <w:sz w:val="20"/>
          <w:szCs w:val="20"/>
          <w:lang w:eastAsia="zh-CN"/>
        </w:rPr>
        <w:t xml:space="preserve">working </w:t>
      </w:r>
      <w:r w:rsidR="008632F2" w:rsidRPr="000E0C38">
        <w:rPr>
          <w:rFonts w:ascii="Arial" w:eastAsia="SimSun" w:hAnsi="Arial" w:cs="Arial"/>
          <w:sz w:val="20"/>
          <w:szCs w:val="20"/>
          <w:lang w:eastAsia="zh-CN"/>
        </w:rPr>
        <w:t>child</w:t>
      </w:r>
      <w:r w:rsidR="002F16FF" w:rsidRPr="000E0C38">
        <w:rPr>
          <w:rFonts w:ascii="Arial" w:eastAsia="SimSun" w:hAnsi="Arial" w:cs="Arial"/>
          <w:sz w:val="20"/>
          <w:szCs w:val="20"/>
          <w:lang w:eastAsia="zh-CN"/>
        </w:rPr>
        <w:t>ren</w:t>
      </w:r>
      <w:r w:rsidR="008632F2" w:rsidRPr="000E0C38">
        <w:rPr>
          <w:rFonts w:ascii="Arial" w:eastAsia="SimSun" w:hAnsi="Arial" w:cs="Arial"/>
          <w:sz w:val="20"/>
          <w:szCs w:val="20"/>
          <w:lang w:eastAsia="zh-CN"/>
        </w:rPr>
        <w:t xml:space="preserve"> live in poverty and are forced into the workforce due to economic compulsions in order to help support their families</w:t>
      </w:r>
      <w:r w:rsidR="007019F2" w:rsidRPr="000E0C38">
        <w:rPr>
          <w:rFonts w:ascii="Arial" w:eastAsia="SimSun" w:hAnsi="Arial" w:cs="Arial"/>
          <w:sz w:val="20"/>
          <w:szCs w:val="20"/>
          <w:lang w:eastAsia="zh-CN"/>
        </w:rPr>
        <w:t xml:space="preserve"> or support themselves</w:t>
      </w:r>
      <w:r w:rsidR="008632F2" w:rsidRPr="000E0C38">
        <w:rPr>
          <w:rFonts w:ascii="Arial" w:eastAsia="SimSun" w:hAnsi="Arial" w:cs="Arial"/>
          <w:sz w:val="20"/>
          <w:szCs w:val="20"/>
          <w:lang w:eastAsia="zh-CN"/>
        </w:rPr>
        <w:t>.</w:t>
      </w:r>
      <w:r w:rsidR="007019F2" w:rsidRPr="000E0C38">
        <w:rPr>
          <w:rFonts w:ascii="Arial" w:eastAsia="SimSun" w:hAnsi="Arial" w:cs="Arial"/>
          <w:sz w:val="20"/>
          <w:szCs w:val="20"/>
          <w:lang w:eastAsia="zh-CN"/>
        </w:rPr>
        <w:t xml:space="preserve"> In many cases children are forced into work by their parents or by employers or middlemen.</w:t>
      </w:r>
    </w:p>
    <w:p w14:paraId="1BC2EE6D"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The United States Department of Labour maintains a list of goods and their source countries, which it has reason to believe are produced by child labour or forced labour in violation of international standards. </w:t>
      </w:r>
      <w:r w:rsidR="00134098" w:rsidRPr="000E0C38">
        <w:fldChar w:fldCharType="begin"/>
      </w:r>
      <w:r w:rsidR="00134098" w:rsidRPr="000E0C38">
        <w:instrText xml:space="preserve"> REF _Ref492394711 \h  \* MERGEFORMAT </w:instrText>
      </w:r>
      <w:r w:rsidR="00134098" w:rsidRPr="000E0C38">
        <w:fldChar w:fldCharType="separate"/>
      </w:r>
      <w:r w:rsidR="001A6968" w:rsidRPr="000E0C38">
        <w:rPr>
          <w:rFonts w:ascii="Arial" w:hAnsi="Arial" w:cs="Arial"/>
          <w:sz w:val="20"/>
          <w:szCs w:val="20"/>
        </w:rPr>
        <w:t>Table 3</w:t>
      </w:r>
      <w:r w:rsidR="00134098" w:rsidRPr="000E0C38">
        <w:fldChar w:fldCharType="end"/>
      </w:r>
      <w:r w:rsidR="00257ED4"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shows selected products relevant to the construction sector supply chain where there is presence of child or forced labour.</w:t>
      </w:r>
      <w:r w:rsidRPr="000E0C38">
        <w:rPr>
          <w:rFonts w:ascii="Arial" w:eastAsia="SimSun" w:hAnsi="Arial" w:cs="Arial"/>
          <w:sz w:val="20"/>
          <w:szCs w:val="20"/>
          <w:vertAlign w:val="superscript"/>
          <w:lang w:eastAsia="zh-CN"/>
        </w:rPr>
        <w:footnoteReference w:id="61"/>
      </w:r>
      <w:r w:rsidRPr="000E0C38">
        <w:rPr>
          <w:rFonts w:ascii="Arial" w:eastAsia="SimSun" w:hAnsi="Arial" w:cs="Arial"/>
          <w:sz w:val="20"/>
          <w:szCs w:val="20"/>
          <w:lang w:eastAsia="zh-CN"/>
        </w:rPr>
        <w:t xml:space="preserve"> It does not account for child and forced labour in the entire construction sector – which is present in many of the countries studied – it is only linked to specific products.</w:t>
      </w:r>
    </w:p>
    <w:p w14:paraId="20417BB4" w14:textId="2FE93E85" w:rsidR="009E64CA" w:rsidRPr="000E0C38" w:rsidRDefault="003B5B06">
      <w:pPr>
        <w:pStyle w:val="Caption"/>
        <w:keepNext/>
        <w:spacing w:after="120"/>
        <w:rPr>
          <w:b/>
          <w:sz w:val="20"/>
        </w:rPr>
      </w:pPr>
      <w:bookmarkStart w:id="23" w:name="_Ref492394711"/>
      <w:r w:rsidRPr="000E0C38">
        <w:rPr>
          <w:b/>
          <w:sz w:val="20"/>
        </w:rPr>
        <w:t xml:space="preserve">Table </w:t>
      </w:r>
      <w:r w:rsidR="00226ED7" w:rsidRPr="000E0C38">
        <w:rPr>
          <w:b/>
          <w:sz w:val="20"/>
        </w:rPr>
        <w:fldChar w:fldCharType="begin"/>
      </w:r>
      <w:r w:rsidRPr="000E0C38">
        <w:rPr>
          <w:b/>
          <w:sz w:val="20"/>
        </w:rPr>
        <w:instrText xml:space="preserve"> SEQ Table \* ARABIC </w:instrText>
      </w:r>
      <w:r w:rsidR="00226ED7" w:rsidRPr="000E0C38">
        <w:rPr>
          <w:b/>
          <w:sz w:val="20"/>
        </w:rPr>
        <w:fldChar w:fldCharType="separate"/>
      </w:r>
      <w:r w:rsidR="001A6968" w:rsidRPr="000E0C38">
        <w:rPr>
          <w:b/>
          <w:sz w:val="20"/>
        </w:rPr>
        <w:t>3</w:t>
      </w:r>
      <w:r w:rsidR="00226ED7" w:rsidRPr="000E0C38">
        <w:rPr>
          <w:b/>
          <w:sz w:val="20"/>
        </w:rPr>
        <w:fldChar w:fldCharType="end"/>
      </w:r>
      <w:bookmarkEnd w:id="23"/>
      <w:r w:rsidRPr="000E0C38">
        <w:rPr>
          <w:b/>
          <w:sz w:val="20"/>
        </w:rPr>
        <w:t xml:space="preserve">: </w:t>
      </w:r>
      <w:r w:rsidRPr="000E0C38">
        <w:rPr>
          <w:rFonts w:eastAsia="SimSun" w:cs="Arial"/>
          <w:b/>
          <w:sz w:val="20"/>
          <w:lang w:eastAsia="zh-CN"/>
        </w:rPr>
        <w:t xml:space="preserve">List of goods produced by child labour or forced labour identified by the US Department of </w:t>
      </w:r>
      <w:proofErr w:type="spellStart"/>
      <w:r w:rsidRPr="000E0C38">
        <w:rPr>
          <w:rFonts w:eastAsia="SimSun" w:cs="Arial"/>
          <w:b/>
          <w:sz w:val="20"/>
          <w:lang w:eastAsia="zh-CN"/>
        </w:rPr>
        <w:t>Labor</w:t>
      </w:r>
      <w:proofErr w:type="spellEnd"/>
    </w:p>
    <w:tbl>
      <w:tblPr>
        <w:tblStyle w:val="Normaltablestyle"/>
        <w:tblW w:w="9464" w:type="dxa"/>
        <w:tblLook w:val="04A0" w:firstRow="1" w:lastRow="0" w:firstColumn="1" w:lastColumn="0" w:noHBand="0" w:noVBand="1"/>
      </w:tblPr>
      <w:tblGrid>
        <w:gridCol w:w="2372"/>
        <w:gridCol w:w="3392"/>
        <w:gridCol w:w="1715"/>
        <w:gridCol w:w="1985"/>
      </w:tblGrid>
      <w:tr w:rsidR="008632F2" w:rsidRPr="000E0C38" w14:paraId="4B40CACE" w14:textId="77777777" w:rsidTr="00432BEF">
        <w:trPr>
          <w:cnfStyle w:val="100000000000" w:firstRow="1" w:lastRow="0" w:firstColumn="0" w:lastColumn="0" w:oddVBand="0" w:evenVBand="0" w:oddHBand="0" w:evenHBand="0" w:firstRowFirstColumn="0" w:firstRowLastColumn="0" w:lastRowFirstColumn="0" w:lastRowLastColumn="0"/>
          <w:trHeight w:val="268"/>
        </w:trPr>
        <w:tc>
          <w:tcPr>
            <w:tcW w:w="2372" w:type="dxa"/>
            <w:shd w:val="clear" w:color="auto" w:fill="CBD1EE" w:themeFill="text2" w:themeFillTint="33"/>
            <w:noWrap/>
            <w:hideMark/>
          </w:tcPr>
          <w:p w14:paraId="0B337366" w14:textId="77777777" w:rsidR="008632F2" w:rsidRPr="000E0C38" w:rsidRDefault="008632F2" w:rsidP="00432BEF">
            <w:pPr>
              <w:rPr>
                <w:rFonts w:ascii="Arial" w:eastAsia="SimSun" w:hAnsi="Arial" w:cs="Arial"/>
                <w:sz w:val="20"/>
                <w:szCs w:val="20"/>
              </w:rPr>
            </w:pPr>
            <w:r w:rsidRPr="000E0C38">
              <w:rPr>
                <w:rFonts w:ascii="Arial" w:eastAsia="SimSun" w:hAnsi="Arial" w:cs="Arial"/>
                <w:sz w:val="20"/>
                <w:szCs w:val="20"/>
              </w:rPr>
              <w:t>Country</w:t>
            </w:r>
          </w:p>
        </w:tc>
        <w:tc>
          <w:tcPr>
            <w:tcW w:w="3392" w:type="dxa"/>
            <w:shd w:val="clear" w:color="auto" w:fill="CBD1EE" w:themeFill="text2" w:themeFillTint="33"/>
            <w:noWrap/>
            <w:hideMark/>
          </w:tcPr>
          <w:p w14:paraId="4FDEBCB6" w14:textId="77777777" w:rsidR="008632F2" w:rsidRPr="000E0C38" w:rsidRDefault="008632F2" w:rsidP="00432BEF">
            <w:pPr>
              <w:rPr>
                <w:rFonts w:ascii="Arial" w:eastAsia="SimSun" w:hAnsi="Arial" w:cs="Arial"/>
                <w:sz w:val="20"/>
                <w:szCs w:val="20"/>
              </w:rPr>
            </w:pPr>
            <w:r w:rsidRPr="000E0C38">
              <w:rPr>
                <w:rFonts w:ascii="Arial" w:eastAsia="SimSun" w:hAnsi="Arial" w:cs="Arial"/>
                <w:sz w:val="20"/>
                <w:szCs w:val="20"/>
              </w:rPr>
              <w:t>Good</w:t>
            </w:r>
          </w:p>
        </w:tc>
        <w:tc>
          <w:tcPr>
            <w:tcW w:w="1715" w:type="dxa"/>
            <w:shd w:val="clear" w:color="auto" w:fill="CBD1EE" w:themeFill="text2" w:themeFillTint="33"/>
            <w:noWrap/>
            <w:hideMark/>
          </w:tcPr>
          <w:p w14:paraId="2EFA75D9"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Child Labour</w:t>
            </w:r>
          </w:p>
        </w:tc>
        <w:tc>
          <w:tcPr>
            <w:tcW w:w="1985" w:type="dxa"/>
            <w:shd w:val="clear" w:color="auto" w:fill="CBD1EE" w:themeFill="text2" w:themeFillTint="33"/>
            <w:noWrap/>
            <w:hideMark/>
          </w:tcPr>
          <w:p w14:paraId="5987D69A"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Forced Labour</w:t>
            </w:r>
          </w:p>
        </w:tc>
      </w:tr>
      <w:tr w:rsidR="008632F2" w:rsidRPr="000E0C38" w14:paraId="6760CD5A" w14:textId="77777777" w:rsidTr="00432BEF">
        <w:trPr>
          <w:cnfStyle w:val="000000100000" w:firstRow="0" w:lastRow="0" w:firstColumn="0" w:lastColumn="0" w:oddVBand="0" w:evenVBand="0" w:oddHBand="1" w:evenHBand="0" w:firstRowFirstColumn="0" w:firstRowLastColumn="0" w:lastRowFirstColumn="0" w:lastRowLastColumn="0"/>
          <w:trHeight w:val="268"/>
        </w:trPr>
        <w:tc>
          <w:tcPr>
            <w:tcW w:w="2372" w:type="dxa"/>
            <w:noWrap/>
            <w:hideMark/>
          </w:tcPr>
          <w:p w14:paraId="0FB11A27"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Afghanistan</w:t>
            </w:r>
          </w:p>
        </w:tc>
        <w:tc>
          <w:tcPr>
            <w:tcW w:w="3392" w:type="dxa"/>
            <w:noWrap/>
            <w:hideMark/>
          </w:tcPr>
          <w:p w14:paraId="1845116D"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Bricks</w:t>
            </w:r>
          </w:p>
        </w:tc>
        <w:tc>
          <w:tcPr>
            <w:tcW w:w="1715" w:type="dxa"/>
            <w:noWrap/>
            <w:hideMark/>
          </w:tcPr>
          <w:p w14:paraId="2CBA5279"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c>
          <w:tcPr>
            <w:tcW w:w="1985" w:type="dxa"/>
            <w:noWrap/>
            <w:hideMark/>
          </w:tcPr>
          <w:p w14:paraId="02FAB790"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r>
      <w:tr w:rsidR="008632F2" w:rsidRPr="000E0C38" w14:paraId="251FAA12" w14:textId="77777777" w:rsidTr="00432BEF">
        <w:trPr>
          <w:cnfStyle w:val="000000010000" w:firstRow="0" w:lastRow="0" w:firstColumn="0" w:lastColumn="0" w:oddVBand="0" w:evenVBand="0" w:oddHBand="0" w:evenHBand="1" w:firstRowFirstColumn="0" w:firstRowLastColumn="0" w:lastRowFirstColumn="0" w:lastRowLastColumn="0"/>
          <w:trHeight w:val="268"/>
        </w:trPr>
        <w:tc>
          <w:tcPr>
            <w:tcW w:w="2372" w:type="dxa"/>
            <w:noWrap/>
            <w:hideMark/>
          </w:tcPr>
          <w:p w14:paraId="07B2DED3"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Bangladesh</w:t>
            </w:r>
          </w:p>
        </w:tc>
        <w:tc>
          <w:tcPr>
            <w:tcW w:w="3392" w:type="dxa"/>
            <w:noWrap/>
            <w:hideMark/>
          </w:tcPr>
          <w:p w14:paraId="741B090F"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Bricks, Glass</w:t>
            </w:r>
          </w:p>
        </w:tc>
        <w:tc>
          <w:tcPr>
            <w:tcW w:w="1715" w:type="dxa"/>
            <w:noWrap/>
            <w:hideMark/>
          </w:tcPr>
          <w:p w14:paraId="4C377E6F"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c>
          <w:tcPr>
            <w:tcW w:w="1985" w:type="dxa"/>
            <w:noWrap/>
            <w:hideMark/>
          </w:tcPr>
          <w:p w14:paraId="07FA3714"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 </w:t>
            </w:r>
          </w:p>
        </w:tc>
      </w:tr>
      <w:tr w:rsidR="008632F2" w:rsidRPr="000E0C38" w14:paraId="78D8877C" w14:textId="77777777" w:rsidTr="00432BEF">
        <w:trPr>
          <w:cnfStyle w:val="000000100000" w:firstRow="0" w:lastRow="0" w:firstColumn="0" w:lastColumn="0" w:oddVBand="0" w:evenVBand="0" w:oddHBand="1" w:evenHBand="0" w:firstRowFirstColumn="0" w:firstRowLastColumn="0" w:lastRowFirstColumn="0" w:lastRowLastColumn="0"/>
          <w:trHeight w:val="268"/>
        </w:trPr>
        <w:tc>
          <w:tcPr>
            <w:tcW w:w="2372" w:type="dxa"/>
            <w:noWrap/>
            <w:hideMark/>
          </w:tcPr>
          <w:p w14:paraId="4ACC4A08"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Burma</w:t>
            </w:r>
          </w:p>
        </w:tc>
        <w:tc>
          <w:tcPr>
            <w:tcW w:w="3392" w:type="dxa"/>
            <w:noWrap/>
            <w:hideMark/>
          </w:tcPr>
          <w:p w14:paraId="1A40F86A"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Bamboo, Bricks</w:t>
            </w:r>
          </w:p>
        </w:tc>
        <w:tc>
          <w:tcPr>
            <w:tcW w:w="1715" w:type="dxa"/>
            <w:noWrap/>
            <w:hideMark/>
          </w:tcPr>
          <w:p w14:paraId="4986B660"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c>
          <w:tcPr>
            <w:tcW w:w="1985" w:type="dxa"/>
            <w:noWrap/>
            <w:hideMark/>
          </w:tcPr>
          <w:p w14:paraId="500F5FBC"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r>
      <w:tr w:rsidR="008632F2" w:rsidRPr="000E0C38" w14:paraId="2288DE78" w14:textId="77777777" w:rsidTr="00432BEF">
        <w:trPr>
          <w:cnfStyle w:val="000000010000" w:firstRow="0" w:lastRow="0" w:firstColumn="0" w:lastColumn="0" w:oddVBand="0" w:evenVBand="0" w:oddHBand="0" w:evenHBand="1" w:firstRowFirstColumn="0" w:firstRowLastColumn="0" w:lastRowFirstColumn="0" w:lastRowLastColumn="0"/>
          <w:trHeight w:val="268"/>
        </w:trPr>
        <w:tc>
          <w:tcPr>
            <w:tcW w:w="2372" w:type="dxa"/>
            <w:noWrap/>
            <w:hideMark/>
          </w:tcPr>
          <w:p w14:paraId="25D2983C"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India</w:t>
            </w:r>
          </w:p>
        </w:tc>
        <w:tc>
          <w:tcPr>
            <w:tcW w:w="3392" w:type="dxa"/>
            <w:noWrap/>
            <w:hideMark/>
          </w:tcPr>
          <w:p w14:paraId="1B26F6C3"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Bricks, Stones</w:t>
            </w:r>
          </w:p>
        </w:tc>
        <w:tc>
          <w:tcPr>
            <w:tcW w:w="1715" w:type="dxa"/>
            <w:noWrap/>
            <w:hideMark/>
          </w:tcPr>
          <w:p w14:paraId="40D55CD3"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c>
          <w:tcPr>
            <w:tcW w:w="1985" w:type="dxa"/>
            <w:noWrap/>
            <w:hideMark/>
          </w:tcPr>
          <w:p w14:paraId="5456D727"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r>
      <w:tr w:rsidR="008632F2" w:rsidRPr="000E0C38" w14:paraId="678AF0FC" w14:textId="77777777" w:rsidTr="00432BEF">
        <w:trPr>
          <w:cnfStyle w:val="000000100000" w:firstRow="0" w:lastRow="0" w:firstColumn="0" w:lastColumn="0" w:oddVBand="0" w:evenVBand="0" w:oddHBand="1" w:evenHBand="0" w:firstRowFirstColumn="0" w:firstRowLastColumn="0" w:lastRowFirstColumn="0" w:lastRowLastColumn="0"/>
          <w:trHeight w:val="268"/>
        </w:trPr>
        <w:tc>
          <w:tcPr>
            <w:tcW w:w="2372" w:type="dxa"/>
            <w:noWrap/>
            <w:hideMark/>
          </w:tcPr>
          <w:p w14:paraId="77CB5943"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Nigeria</w:t>
            </w:r>
          </w:p>
        </w:tc>
        <w:tc>
          <w:tcPr>
            <w:tcW w:w="3392" w:type="dxa"/>
            <w:noWrap/>
            <w:hideMark/>
          </w:tcPr>
          <w:p w14:paraId="4F2C5DF8"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Granite, Gravel (crushed stones)</w:t>
            </w:r>
          </w:p>
        </w:tc>
        <w:tc>
          <w:tcPr>
            <w:tcW w:w="1715" w:type="dxa"/>
            <w:noWrap/>
            <w:hideMark/>
          </w:tcPr>
          <w:p w14:paraId="741DCC08"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c>
          <w:tcPr>
            <w:tcW w:w="1985" w:type="dxa"/>
            <w:noWrap/>
            <w:hideMark/>
          </w:tcPr>
          <w:p w14:paraId="3629400D"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r>
      <w:tr w:rsidR="008632F2" w:rsidRPr="000E0C38" w14:paraId="5D3028BF" w14:textId="77777777" w:rsidTr="00432BEF">
        <w:trPr>
          <w:cnfStyle w:val="000000010000" w:firstRow="0" w:lastRow="0" w:firstColumn="0" w:lastColumn="0" w:oddVBand="0" w:evenVBand="0" w:oddHBand="0" w:evenHBand="1" w:firstRowFirstColumn="0" w:firstRowLastColumn="0" w:lastRowFirstColumn="0" w:lastRowLastColumn="0"/>
          <w:trHeight w:val="268"/>
        </w:trPr>
        <w:tc>
          <w:tcPr>
            <w:tcW w:w="2372" w:type="dxa"/>
            <w:noWrap/>
            <w:hideMark/>
          </w:tcPr>
          <w:p w14:paraId="584BF193"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Pakistan</w:t>
            </w:r>
          </w:p>
        </w:tc>
        <w:tc>
          <w:tcPr>
            <w:tcW w:w="3392" w:type="dxa"/>
            <w:noWrap/>
            <w:hideMark/>
          </w:tcPr>
          <w:p w14:paraId="747F822B"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Bricks</w:t>
            </w:r>
          </w:p>
        </w:tc>
        <w:tc>
          <w:tcPr>
            <w:tcW w:w="1715" w:type="dxa"/>
            <w:noWrap/>
            <w:hideMark/>
          </w:tcPr>
          <w:p w14:paraId="5AB1AFCB"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c>
          <w:tcPr>
            <w:tcW w:w="1985" w:type="dxa"/>
            <w:noWrap/>
            <w:hideMark/>
          </w:tcPr>
          <w:p w14:paraId="6DB1E878"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r>
      <w:tr w:rsidR="008632F2" w:rsidRPr="000E0C38" w14:paraId="6A89DE60" w14:textId="77777777" w:rsidTr="00432BEF">
        <w:trPr>
          <w:cnfStyle w:val="000000100000" w:firstRow="0" w:lastRow="0" w:firstColumn="0" w:lastColumn="0" w:oddVBand="0" w:evenVBand="0" w:oddHBand="1" w:evenHBand="0" w:firstRowFirstColumn="0" w:firstRowLastColumn="0" w:lastRowFirstColumn="0" w:lastRowLastColumn="0"/>
          <w:trHeight w:val="268"/>
        </w:trPr>
        <w:tc>
          <w:tcPr>
            <w:tcW w:w="2372" w:type="dxa"/>
            <w:noWrap/>
            <w:hideMark/>
          </w:tcPr>
          <w:p w14:paraId="1B98099F"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Sierra Leone</w:t>
            </w:r>
          </w:p>
        </w:tc>
        <w:tc>
          <w:tcPr>
            <w:tcW w:w="3392" w:type="dxa"/>
            <w:noWrap/>
            <w:hideMark/>
          </w:tcPr>
          <w:p w14:paraId="32B5D142"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Granite</w:t>
            </w:r>
          </w:p>
        </w:tc>
        <w:tc>
          <w:tcPr>
            <w:tcW w:w="1715" w:type="dxa"/>
            <w:noWrap/>
            <w:hideMark/>
          </w:tcPr>
          <w:p w14:paraId="0429A92C"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c>
          <w:tcPr>
            <w:tcW w:w="1985" w:type="dxa"/>
            <w:noWrap/>
            <w:hideMark/>
          </w:tcPr>
          <w:p w14:paraId="4D4BA871"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 </w:t>
            </w:r>
          </w:p>
        </w:tc>
      </w:tr>
      <w:tr w:rsidR="008632F2" w:rsidRPr="000E0C38" w14:paraId="7B38D33D" w14:textId="77777777" w:rsidTr="00432BEF">
        <w:trPr>
          <w:cnfStyle w:val="000000010000" w:firstRow="0" w:lastRow="0" w:firstColumn="0" w:lastColumn="0" w:oddVBand="0" w:evenVBand="0" w:oddHBand="0" w:evenHBand="1" w:firstRowFirstColumn="0" w:firstRowLastColumn="0" w:lastRowFirstColumn="0" w:lastRowLastColumn="0"/>
          <w:trHeight w:val="268"/>
        </w:trPr>
        <w:tc>
          <w:tcPr>
            <w:tcW w:w="2372" w:type="dxa"/>
            <w:noWrap/>
            <w:hideMark/>
          </w:tcPr>
          <w:p w14:paraId="4624F539"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Uganda</w:t>
            </w:r>
          </w:p>
        </w:tc>
        <w:tc>
          <w:tcPr>
            <w:tcW w:w="3392" w:type="dxa"/>
            <w:noWrap/>
            <w:hideMark/>
          </w:tcPr>
          <w:p w14:paraId="12E05836"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Bricks, Stones</w:t>
            </w:r>
          </w:p>
        </w:tc>
        <w:tc>
          <w:tcPr>
            <w:tcW w:w="1715" w:type="dxa"/>
            <w:noWrap/>
            <w:hideMark/>
          </w:tcPr>
          <w:p w14:paraId="43A4D48D"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c>
          <w:tcPr>
            <w:tcW w:w="1985" w:type="dxa"/>
            <w:noWrap/>
            <w:hideMark/>
          </w:tcPr>
          <w:p w14:paraId="257B0342"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 </w:t>
            </w:r>
          </w:p>
        </w:tc>
      </w:tr>
      <w:tr w:rsidR="008632F2" w:rsidRPr="000E0C38" w14:paraId="773949A8" w14:textId="77777777" w:rsidTr="00432BEF">
        <w:trPr>
          <w:cnfStyle w:val="000000100000" w:firstRow="0" w:lastRow="0" w:firstColumn="0" w:lastColumn="0" w:oddVBand="0" w:evenVBand="0" w:oddHBand="1" w:evenHBand="0" w:firstRowFirstColumn="0" w:firstRowLastColumn="0" w:lastRowFirstColumn="0" w:lastRowLastColumn="0"/>
          <w:trHeight w:val="268"/>
        </w:trPr>
        <w:tc>
          <w:tcPr>
            <w:tcW w:w="2372" w:type="dxa"/>
            <w:noWrap/>
            <w:hideMark/>
          </w:tcPr>
          <w:p w14:paraId="4E0CCA50"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Zambia</w:t>
            </w:r>
          </w:p>
        </w:tc>
        <w:tc>
          <w:tcPr>
            <w:tcW w:w="3392" w:type="dxa"/>
            <w:noWrap/>
            <w:hideMark/>
          </w:tcPr>
          <w:p w14:paraId="5BBA4257" w14:textId="77777777" w:rsidR="008632F2" w:rsidRPr="000E0C38" w:rsidRDefault="008632F2" w:rsidP="008632F2">
            <w:pPr>
              <w:rPr>
                <w:rFonts w:ascii="Arial" w:eastAsia="SimSun" w:hAnsi="Arial" w:cs="Arial"/>
                <w:sz w:val="20"/>
                <w:szCs w:val="20"/>
              </w:rPr>
            </w:pPr>
            <w:r w:rsidRPr="000E0C38">
              <w:rPr>
                <w:rFonts w:ascii="Arial" w:eastAsia="SimSun" w:hAnsi="Arial" w:cs="Arial"/>
                <w:sz w:val="20"/>
                <w:szCs w:val="20"/>
              </w:rPr>
              <w:t>Stones</w:t>
            </w:r>
          </w:p>
        </w:tc>
        <w:tc>
          <w:tcPr>
            <w:tcW w:w="1715" w:type="dxa"/>
            <w:noWrap/>
            <w:hideMark/>
          </w:tcPr>
          <w:p w14:paraId="138FF74C"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Y</w:t>
            </w:r>
          </w:p>
        </w:tc>
        <w:tc>
          <w:tcPr>
            <w:tcW w:w="1985" w:type="dxa"/>
            <w:noWrap/>
            <w:hideMark/>
          </w:tcPr>
          <w:p w14:paraId="150EE379" w14:textId="77777777" w:rsidR="008632F2" w:rsidRPr="000E0C38" w:rsidRDefault="008632F2" w:rsidP="008632F2">
            <w:pPr>
              <w:jc w:val="center"/>
              <w:rPr>
                <w:rFonts w:ascii="Arial" w:eastAsia="SimSun" w:hAnsi="Arial" w:cs="Arial"/>
                <w:sz w:val="20"/>
                <w:szCs w:val="20"/>
              </w:rPr>
            </w:pPr>
            <w:r w:rsidRPr="000E0C38">
              <w:rPr>
                <w:rFonts w:ascii="Arial" w:eastAsia="SimSun" w:hAnsi="Arial" w:cs="Arial"/>
                <w:sz w:val="20"/>
                <w:szCs w:val="20"/>
              </w:rPr>
              <w:t> </w:t>
            </w:r>
          </w:p>
        </w:tc>
      </w:tr>
    </w:tbl>
    <w:p w14:paraId="6BCBB4C7" w14:textId="77777777" w:rsidR="00044A67" w:rsidRPr="000E0C38" w:rsidRDefault="00044A67"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Note: Child labour was not identified by the US Department of </w:t>
      </w:r>
      <w:proofErr w:type="spellStart"/>
      <w:r w:rsidRPr="000E0C38">
        <w:rPr>
          <w:rFonts w:ascii="Arial" w:eastAsia="SimSun" w:hAnsi="Arial" w:cs="Arial"/>
          <w:sz w:val="20"/>
          <w:szCs w:val="20"/>
          <w:lang w:eastAsia="zh-CN"/>
        </w:rPr>
        <w:t>Labor</w:t>
      </w:r>
      <w:proofErr w:type="spellEnd"/>
      <w:r w:rsidRPr="000E0C38">
        <w:rPr>
          <w:rFonts w:ascii="Arial" w:eastAsia="SimSun" w:hAnsi="Arial" w:cs="Arial"/>
          <w:sz w:val="20"/>
          <w:szCs w:val="20"/>
          <w:lang w:eastAsia="zh-CN"/>
        </w:rPr>
        <w:t xml:space="preserve"> in other DFID countries of focus.</w:t>
      </w:r>
    </w:p>
    <w:p w14:paraId="00E33527" w14:textId="77777777" w:rsidR="0028602B" w:rsidRPr="000E0C38" w:rsidRDefault="0089618C"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br/>
      </w:r>
      <w:r w:rsidR="008632F2" w:rsidRPr="000E0C38">
        <w:rPr>
          <w:rFonts w:ascii="Arial" w:eastAsia="SimSun" w:hAnsi="Arial" w:cs="Arial"/>
          <w:sz w:val="20"/>
          <w:szCs w:val="20"/>
          <w:lang w:eastAsia="zh-CN"/>
        </w:rPr>
        <w:t xml:space="preserve">South Asia has the highest concentration of </w:t>
      </w:r>
      <w:r w:rsidR="00202E61" w:rsidRPr="000E0C38">
        <w:rPr>
          <w:rFonts w:ascii="Arial" w:eastAsia="SimSun" w:hAnsi="Arial" w:cs="Arial"/>
          <w:sz w:val="20"/>
          <w:szCs w:val="20"/>
          <w:lang w:eastAsia="zh-CN"/>
        </w:rPr>
        <w:t xml:space="preserve">working </w:t>
      </w:r>
      <w:r w:rsidR="008632F2" w:rsidRPr="000E0C38">
        <w:rPr>
          <w:rFonts w:ascii="Arial" w:eastAsia="SimSun" w:hAnsi="Arial" w:cs="Arial"/>
          <w:sz w:val="20"/>
          <w:szCs w:val="20"/>
          <w:lang w:eastAsia="zh-CN"/>
        </w:rPr>
        <w:t>child</w:t>
      </w:r>
      <w:r w:rsidR="00202E61" w:rsidRPr="000E0C38">
        <w:rPr>
          <w:rFonts w:ascii="Arial" w:eastAsia="SimSun" w:hAnsi="Arial" w:cs="Arial"/>
          <w:sz w:val="20"/>
          <w:szCs w:val="20"/>
          <w:lang w:eastAsia="zh-CN"/>
        </w:rPr>
        <w:t>ren</w:t>
      </w:r>
      <w:r w:rsidR="008632F2" w:rsidRPr="000E0C38">
        <w:rPr>
          <w:rFonts w:ascii="Arial" w:eastAsia="SimSun" w:hAnsi="Arial" w:cs="Arial"/>
          <w:sz w:val="20"/>
          <w:szCs w:val="20"/>
          <w:lang w:eastAsia="zh-CN"/>
        </w:rPr>
        <w:t xml:space="preserve"> labourers in the world</w:t>
      </w:r>
      <w:r w:rsidR="00257ED4" w:rsidRPr="000E0C38">
        <w:rPr>
          <w:rFonts w:ascii="Arial" w:eastAsia="SimSun" w:hAnsi="Arial" w:cs="Arial"/>
          <w:sz w:val="20"/>
          <w:szCs w:val="20"/>
          <w:lang w:eastAsia="zh-CN"/>
        </w:rPr>
        <w:t>,</w:t>
      </w:r>
      <w:r w:rsidR="008632F2" w:rsidRPr="000E0C38">
        <w:rPr>
          <w:rFonts w:ascii="Arial" w:eastAsia="SimSun" w:hAnsi="Arial" w:cs="Arial"/>
          <w:sz w:val="20"/>
          <w:szCs w:val="20"/>
          <w:lang w:eastAsia="zh-CN"/>
        </w:rPr>
        <w:t xml:space="preserve"> with more than one quarter concentrated in India where the brick kiln industry is one of the most important building material sectors. A health study on child labour estimated that brick kilns engage about 1.7 million children in India, at least 500,000 in Pakistan</w:t>
      </w:r>
      <w:r w:rsidR="00550254" w:rsidRPr="000E0C38">
        <w:rPr>
          <w:rFonts w:ascii="Arial" w:eastAsia="SimSun" w:hAnsi="Arial" w:cs="Arial"/>
          <w:sz w:val="20"/>
          <w:szCs w:val="20"/>
          <w:lang w:eastAsia="zh-CN"/>
        </w:rPr>
        <w:t>;</w:t>
      </w:r>
      <w:r w:rsidR="008632F2" w:rsidRPr="000E0C38">
        <w:rPr>
          <w:rFonts w:ascii="Arial" w:eastAsia="SimSun" w:hAnsi="Arial" w:cs="Arial"/>
          <w:sz w:val="20"/>
          <w:szCs w:val="20"/>
          <w:lang w:eastAsia="zh-CN"/>
        </w:rPr>
        <w:t xml:space="preserve"> 110,000 in Bangladesh.</w:t>
      </w:r>
      <w:r w:rsidR="008632F2" w:rsidRPr="000E0C38">
        <w:rPr>
          <w:rFonts w:ascii="Arial" w:eastAsia="SimSun" w:hAnsi="Arial" w:cs="Arial"/>
          <w:sz w:val="20"/>
          <w:szCs w:val="20"/>
          <w:vertAlign w:val="superscript"/>
          <w:lang w:eastAsia="zh-CN"/>
        </w:rPr>
        <w:footnoteReference w:id="62"/>
      </w:r>
      <w:r w:rsidR="008632F2" w:rsidRPr="000E0C38">
        <w:rPr>
          <w:rFonts w:ascii="Arial" w:eastAsia="SimSun" w:hAnsi="Arial" w:cs="Arial"/>
          <w:sz w:val="20"/>
          <w:szCs w:val="20"/>
          <w:lang w:eastAsia="zh-CN"/>
        </w:rPr>
        <w:t xml:space="preserve"> Another study from the ILO reported that 56 per cent of brick makers in Afghan kilns of two districts are children, with </w:t>
      </w:r>
      <w:r w:rsidR="00257ED4" w:rsidRPr="000E0C38">
        <w:rPr>
          <w:rFonts w:ascii="Arial" w:eastAsia="SimSun" w:hAnsi="Arial" w:cs="Arial"/>
          <w:sz w:val="20"/>
          <w:szCs w:val="20"/>
          <w:lang w:eastAsia="zh-CN"/>
        </w:rPr>
        <w:t>the</w:t>
      </w:r>
      <w:r w:rsidR="008632F2" w:rsidRPr="000E0C38">
        <w:rPr>
          <w:rFonts w:ascii="Arial" w:eastAsia="SimSun" w:hAnsi="Arial" w:cs="Arial"/>
          <w:sz w:val="20"/>
          <w:szCs w:val="20"/>
          <w:lang w:eastAsia="zh-CN"/>
        </w:rPr>
        <w:t xml:space="preserve"> majority </w:t>
      </w:r>
      <w:r w:rsidR="00257ED4" w:rsidRPr="000E0C38">
        <w:rPr>
          <w:rFonts w:ascii="Arial" w:eastAsia="SimSun" w:hAnsi="Arial" w:cs="Arial"/>
          <w:sz w:val="20"/>
          <w:szCs w:val="20"/>
          <w:lang w:eastAsia="zh-CN"/>
        </w:rPr>
        <w:t xml:space="preserve">being </w:t>
      </w:r>
      <w:r w:rsidR="008632F2" w:rsidRPr="000E0C38">
        <w:rPr>
          <w:rFonts w:ascii="Arial" w:eastAsia="SimSun" w:hAnsi="Arial" w:cs="Arial"/>
          <w:sz w:val="20"/>
          <w:szCs w:val="20"/>
          <w:lang w:eastAsia="zh-CN"/>
        </w:rPr>
        <w:t>14 years of age or under.</w:t>
      </w:r>
      <w:r w:rsidR="008632F2" w:rsidRPr="000E0C38">
        <w:rPr>
          <w:rFonts w:ascii="Arial" w:eastAsia="SimSun" w:hAnsi="Arial" w:cs="Arial"/>
          <w:sz w:val="20"/>
          <w:szCs w:val="20"/>
          <w:vertAlign w:val="superscript"/>
          <w:lang w:eastAsia="zh-CN"/>
        </w:rPr>
        <w:footnoteReference w:id="63"/>
      </w:r>
      <w:r w:rsidR="0028602B" w:rsidRPr="000E0C38">
        <w:rPr>
          <w:rFonts w:ascii="Arial" w:eastAsia="SimSun" w:hAnsi="Arial" w:cs="Arial"/>
          <w:sz w:val="20"/>
          <w:szCs w:val="20"/>
          <w:lang w:eastAsia="zh-CN"/>
        </w:rPr>
        <w:t xml:space="preserve"> Interventions to reduce child labour in the construction supply chains could therefore concentrate in Afghanistan, Bangladesh, Burma, India and Pakistan, and to a lesser extent in Nigeria</w:t>
      </w:r>
      <w:r w:rsidR="00550254" w:rsidRPr="000E0C38">
        <w:rPr>
          <w:rFonts w:ascii="Arial" w:eastAsia="SimSun" w:hAnsi="Arial" w:cs="Arial"/>
          <w:sz w:val="20"/>
          <w:szCs w:val="20"/>
          <w:lang w:eastAsia="zh-CN"/>
        </w:rPr>
        <w:t>,</w:t>
      </w:r>
      <w:r w:rsidR="0028602B" w:rsidRPr="000E0C38">
        <w:rPr>
          <w:rFonts w:ascii="Arial" w:eastAsia="SimSun" w:hAnsi="Arial" w:cs="Arial"/>
          <w:sz w:val="20"/>
          <w:szCs w:val="20"/>
          <w:lang w:eastAsia="zh-CN"/>
        </w:rPr>
        <w:t xml:space="preserve"> Sierra Leone, Uganda</w:t>
      </w:r>
      <w:r w:rsidR="00550254" w:rsidRPr="000E0C38">
        <w:rPr>
          <w:rFonts w:ascii="Arial" w:eastAsia="SimSun" w:hAnsi="Arial" w:cs="Arial"/>
          <w:sz w:val="20"/>
          <w:szCs w:val="20"/>
          <w:lang w:eastAsia="zh-CN"/>
        </w:rPr>
        <w:t>,</w:t>
      </w:r>
      <w:r w:rsidR="0028602B" w:rsidRPr="000E0C38">
        <w:rPr>
          <w:rFonts w:ascii="Arial" w:eastAsia="SimSun" w:hAnsi="Arial" w:cs="Arial"/>
          <w:sz w:val="20"/>
          <w:szCs w:val="20"/>
          <w:lang w:eastAsia="zh-CN"/>
        </w:rPr>
        <w:t xml:space="preserve"> and Zambia. </w:t>
      </w:r>
    </w:p>
    <w:p w14:paraId="277ABA37"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Normally children are not directly employed by the brick kiln owners, but start helping their parents from as young as five years old. Other common tasks performed by children include preparing the soil, turning over cooked bricks</w:t>
      </w:r>
      <w:r w:rsidR="00257ED4"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and creating brick piles. </w:t>
      </w:r>
      <w:r w:rsidR="00550254" w:rsidRPr="000E0C38">
        <w:rPr>
          <w:rFonts w:ascii="Arial" w:eastAsia="SimSun" w:hAnsi="Arial" w:cs="Arial"/>
          <w:sz w:val="20"/>
          <w:szCs w:val="20"/>
          <w:lang w:eastAsia="zh-CN"/>
        </w:rPr>
        <w:t>W</w:t>
      </w:r>
      <w:r w:rsidRPr="000E0C38">
        <w:rPr>
          <w:rFonts w:ascii="Arial" w:eastAsia="SimSun" w:hAnsi="Arial" w:cs="Arial"/>
          <w:sz w:val="20"/>
          <w:szCs w:val="20"/>
          <w:lang w:eastAsia="zh-CN"/>
        </w:rPr>
        <w:t>ages are paid based on the piece-rate system and hence children continue to work as part of family labour to be paid higher wages based on the quantity of bricks they produce.</w:t>
      </w:r>
    </w:p>
    <w:p w14:paraId="2A46876E" w14:textId="77777777" w:rsidR="008632F2" w:rsidRPr="000E0C38" w:rsidRDefault="00067D95" w:rsidP="008F4768">
      <w:pPr>
        <w:pStyle w:val="Heading2"/>
        <w:spacing w:before="0"/>
        <w:rPr>
          <w:lang w:eastAsia="zh-CN"/>
        </w:rPr>
      </w:pPr>
      <w:bookmarkStart w:id="24" w:name="_Toc498019396"/>
      <w:r w:rsidRPr="000E0C38">
        <w:rPr>
          <w:lang w:eastAsia="zh-CN"/>
        </w:rPr>
        <w:lastRenderedPageBreak/>
        <w:t xml:space="preserve">2.6 </w:t>
      </w:r>
      <w:r w:rsidR="008632F2" w:rsidRPr="000E0C38">
        <w:rPr>
          <w:lang w:eastAsia="zh-CN"/>
        </w:rPr>
        <w:t>Skills and education levels</w:t>
      </w:r>
      <w:bookmarkEnd w:id="24"/>
    </w:p>
    <w:p w14:paraId="6EC655D2" w14:textId="77777777" w:rsidR="009E64CA"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Education and training are essential to meeting the skills gap</w:t>
      </w:r>
      <w:r w:rsidR="0028602B" w:rsidRPr="000E0C38">
        <w:rPr>
          <w:rStyle w:val="FootnoteReference"/>
          <w:rFonts w:ascii="Arial" w:eastAsia="SimSun" w:hAnsi="Arial" w:cs="Arial"/>
          <w:sz w:val="20"/>
          <w:szCs w:val="20"/>
          <w:lang w:eastAsia="zh-CN"/>
        </w:rPr>
        <w:footnoteReference w:id="64"/>
      </w:r>
      <w:r w:rsidRPr="000E0C38">
        <w:rPr>
          <w:rFonts w:ascii="Arial" w:eastAsia="SimSun" w:hAnsi="Arial" w:cs="Arial"/>
          <w:sz w:val="20"/>
          <w:szCs w:val="20"/>
          <w:lang w:eastAsia="zh-CN"/>
        </w:rPr>
        <w:t xml:space="preserve"> in the construction industry.</w:t>
      </w:r>
      <w:r w:rsidR="003E7D77" w:rsidRPr="000E0C38">
        <w:rPr>
          <w:rStyle w:val="FootnoteReference"/>
          <w:rFonts w:ascii="Arial" w:eastAsia="SimSun" w:hAnsi="Arial" w:cs="Arial"/>
          <w:sz w:val="20"/>
          <w:szCs w:val="20"/>
          <w:lang w:eastAsia="zh-CN"/>
        </w:rPr>
        <w:footnoteReference w:id="65"/>
      </w:r>
      <w:r w:rsidRPr="000E0C38">
        <w:rPr>
          <w:rFonts w:ascii="Arial" w:eastAsia="SimSun" w:hAnsi="Arial" w:cs="Arial"/>
          <w:sz w:val="20"/>
          <w:szCs w:val="20"/>
          <w:lang w:eastAsia="zh-CN"/>
        </w:rPr>
        <w:t xml:space="preserve"> They provide workers with the knowledge necessary to carry out their work and they increase employability. Training is also an important factor behind </w:t>
      </w:r>
      <w:r w:rsidR="00C11E5F" w:rsidRPr="000E0C38">
        <w:rPr>
          <w:rFonts w:ascii="Arial" w:eastAsia="SimSun" w:hAnsi="Arial" w:cs="Arial"/>
          <w:sz w:val="20"/>
          <w:szCs w:val="20"/>
          <w:lang w:eastAsia="zh-CN"/>
        </w:rPr>
        <w:t>OS</w:t>
      </w:r>
      <w:r w:rsidR="00550254" w:rsidRPr="000E0C38">
        <w:rPr>
          <w:rFonts w:ascii="Arial" w:eastAsia="SimSun" w:hAnsi="Arial" w:cs="Arial"/>
          <w:sz w:val="20"/>
          <w:szCs w:val="20"/>
          <w:lang w:eastAsia="zh-CN"/>
        </w:rPr>
        <w:t>H</w:t>
      </w:r>
      <w:r w:rsidR="00C11E5F"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 xml:space="preserve">improvements and increased labour productivity, which may in turn </w:t>
      </w:r>
      <w:r w:rsidR="00C11E5F" w:rsidRPr="000E0C38">
        <w:rPr>
          <w:rFonts w:ascii="Arial" w:eastAsia="SimSun" w:hAnsi="Arial" w:cs="Arial"/>
          <w:sz w:val="20"/>
          <w:szCs w:val="20"/>
          <w:lang w:eastAsia="zh-CN"/>
        </w:rPr>
        <w:t xml:space="preserve">lead to higher </w:t>
      </w:r>
      <w:r w:rsidRPr="000E0C38">
        <w:rPr>
          <w:rFonts w:ascii="Arial" w:eastAsia="SimSun" w:hAnsi="Arial" w:cs="Arial"/>
          <w:sz w:val="20"/>
          <w:szCs w:val="20"/>
          <w:lang w:eastAsia="zh-CN"/>
        </w:rPr>
        <w:t>wages.</w:t>
      </w:r>
    </w:p>
    <w:p w14:paraId="49D74D17" w14:textId="77777777" w:rsidR="008632F2" w:rsidRPr="000E0C38" w:rsidRDefault="00C11E5F"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E</w:t>
      </w:r>
      <w:r w:rsidR="008632F2" w:rsidRPr="000E0C38">
        <w:rPr>
          <w:rFonts w:ascii="Arial" w:eastAsia="SimSun" w:hAnsi="Arial" w:cs="Arial"/>
          <w:sz w:val="20"/>
          <w:szCs w:val="20"/>
          <w:lang w:eastAsia="zh-CN"/>
        </w:rPr>
        <w:t>mployers in DFID countries of focus such as Zambia, Malawi, Tanzania</w:t>
      </w:r>
      <w:r w:rsidR="00550254" w:rsidRPr="000E0C38">
        <w:rPr>
          <w:rFonts w:ascii="Arial" w:eastAsia="SimSun" w:hAnsi="Arial" w:cs="Arial"/>
          <w:sz w:val="20"/>
          <w:szCs w:val="20"/>
          <w:lang w:eastAsia="zh-CN"/>
        </w:rPr>
        <w:t>,</w:t>
      </w:r>
      <w:r w:rsidR="008632F2" w:rsidRPr="000E0C38">
        <w:rPr>
          <w:rFonts w:ascii="Arial" w:eastAsia="SimSun" w:hAnsi="Arial" w:cs="Arial"/>
          <w:sz w:val="20"/>
          <w:szCs w:val="20"/>
          <w:lang w:eastAsia="zh-CN"/>
        </w:rPr>
        <w:t xml:space="preserve"> and Mozambique report difficulties in finding skilled workers.</w:t>
      </w:r>
      <w:r w:rsidR="008632F2" w:rsidRPr="000E0C38">
        <w:rPr>
          <w:rFonts w:ascii="Arial" w:eastAsia="SimSun" w:hAnsi="Arial" w:cs="Arial"/>
          <w:sz w:val="20"/>
          <w:szCs w:val="20"/>
          <w:vertAlign w:val="superscript"/>
          <w:lang w:eastAsia="zh-CN"/>
        </w:rPr>
        <w:footnoteReference w:id="66"/>
      </w:r>
      <w:r w:rsidR="003B5B06" w:rsidRPr="000E0C38">
        <w:rPr>
          <w:rFonts w:ascii="Arial" w:eastAsia="SimSun" w:hAnsi="Arial" w:cs="Arial"/>
          <w:sz w:val="20"/>
          <w:szCs w:val="20"/>
          <w:vertAlign w:val="superscript"/>
          <w:lang w:eastAsia="zh-CN"/>
        </w:rPr>
        <w:t xml:space="preserve"> </w:t>
      </w:r>
      <w:r w:rsidR="008632F2" w:rsidRPr="000E0C38">
        <w:rPr>
          <w:rFonts w:ascii="Arial" w:eastAsia="SimSun" w:hAnsi="Arial" w:cs="Arial"/>
          <w:sz w:val="20"/>
          <w:szCs w:val="20"/>
          <w:lang w:eastAsia="zh-CN"/>
        </w:rPr>
        <w:t>This is partly due to skills gaps and deficits, as training programmes are sometimes out of date and do not always meet the needs of the industry.</w:t>
      </w:r>
      <w:r w:rsidR="008632F2" w:rsidRPr="000E0C38">
        <w:rPr>
          <w:rFonts w:ascii="Arial" w:eastAsia="SimSun" w:hAnsi="Arial" w:cs="Arial"/>
          <w:sz w:val="20"/>
          <w:szCs w:val="20"/>
          <w:vertAlign w:val="superscript"/>
          <w:lang w:eastAsia="zh-CN"/>
        </w:rPr>
        <w:footnoteReference w:id="67"/>
      </w:r>
      <w:r w:rsidR="0028602B" w:rsidRPr="000E0C38">
        <w:rPr>
          <w:rFonts w:ascii="Arial" w:eastAsia="SimSun" w:hAnsi="Arial" w:cs="Arial"/>
          <w:sz w:val="20"/>
          <w:szCs w:val="20"/>
          <w:lang w:eastAsia="zh-CN"/>
        </w:rPr>
        <w:t xml:space="preserve"> In most DFID countries of focus construction trades are taught in community and technical colleges, while construction-related curricula is less predominant in tertiary education.</w:t>
      </w:r>
      <w:r w:rsidR="008632F2" w:rsidRPr="000E0C38">
        <w:rPr>
          <w:rFonts w:ascii="Arial" w:eastAsia="SimSun" w:hAnsi="Arial" w:cs="Arial"/>
          <w:sz w:val="20"/>
          <w:szCs w:val="20"/>
          <w:lang w:eastAsia="zh-CN"/>
        </w:rPr>
        <w:t xml:space="preserve"> Challenges to the acquisition of skills </w:t>
      </w:r>
      <w:r w:rsidRPr="000E0C38">
        <w:rPr>
          <w:rFonts w:ascii="Arial" w:eastAsia="SimSun" w:hAnsi="Arial" w:cs="Arial"/>
          <w:sz w:val="20"/>
          <w:szCs w:val="20"/>
          <w:lang w:eastAsia="zh-CN"/>
        </w:rPr>
        <w:t>include</w:t>
      </w:r>
      <w:r w:rsidR="008632F2" w:rsidRPr="000E0C38">
        <w:rPr>
          <w:rFonts w:ascii="Arial" w:eastAsia="SimSun" w:hAnsi="Arial" w:cs="Arial"/>
          <w:sz w:val="20"/>
          <w:szCs w:val="20"/>
          <w:lang w:eastAsia="zh-CN"/>
        </w:rPr>
        <w:t xml:space="preserve"> low levels of skills of trainers themselves, </w:t>
      </w:r>
      <w:r w:rsidRPr="000E0C38">
        <w:rPr>
          <w:rFonts w:ascii="Arial" w:eastAsia="SimSun" w:hAnsi="Arial" w:cs="Arial"/>
          <w:sz w:val="20"/>
          <w:szCs w:val="20"/>
          <w:lang w:eastAsia="zh-CN"/>
        </w:rPr>
        <w:t>who in many cases</w:t>
      </w:r>
      <w:r w:rsidR="008632F2" w:rsidRPr="000E0C38">
        <w:rPr>
          <w:rFonts w:ascii="Arial" w:eastAsia="SimSun" w:hAnsi="Arial" w:cs="Arial"/>
          <w:sz w:val="20"/>
          <w:szCs w:val="20"/>
          <w:lang w:eastAsia="zh-CN"/>
        </w:rPr>
        <w:t xml:space="preserve"> do not have the adequate competenc</w:t>
      </w:r>
      <w:r w:rsidR="00550254" w:rsidRPr="000E0C38">
        <w:rPr>
          <w:rFonts w:ascii="Arial" w:eastAsia="SimSun" w:hAnsi="Arial" w:cs="Arial"/>
          <w:sz w:val="20"/>
          <w:szCs w:val="20"/>
          <w:lang w:eastAsia="zh-CN"/>
        </w:rPr>
        <w:t>i</w:t>
      </w:r>
      <w:r w:rsidR="008632F2" w:rsidRPr="000E0C38">
        <w:rPr>
          <w:rFonts w:ascii="Arial" w:eastAsia="SimSun" w:hAnsi="Arial" w:cs="Arial"/>
          <w:sz w:val="20"/>
          <w:szCs w:val="20"/>
          <w:lang w:eastAsia="zh-CN"/>
        </w:rPr>
        <w:t>es to teach construction trades.</w:t>
      </w:r>
    </w:p>
    <w:p w14:paraId="63B54DE2"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Skills gaps in developing countries vary from country to country, due to different technological patterns and employment structures.</w:t>
      </w:r>
      <w:r w:rsidRPr="000E0C38">
        <w:rPr>
          <w:rFonts w:ascii="Arial" w:eastAsia="SimSun" w:hAnsi="Arial" w:cs="Arial"/>
          <w:sz w:val="20"/>
          <w:szCs w:val="20"/>
          <w:vertAlign w:val="superscript"/>
          <w:lang w:eastAsia="zh-CN"/>
        </w:rPr>
        <w:footnoteReference w:id="68"/>
      </w:r>
      <w:r w:rsidRPr="000E0C38">
        <w:rPr>
          <w:rFonts w:ascii="Arial" w:eastAsia="SimSun" w:hAnsi="Arial" w:cs="Arial"/>
          <w:sz w:val="20"/>
          <w:szCs w:val="20"/>
          <w:lang w:eastAsia="zh-CN"/>
        </w:rPr>
        <w:t xml:space="preserve"> </w:t>
      </w:r>
      <w:r w:rsidR="000B0A07" w:rsidRPr="000E0C38">
        <w:rPr>
          <w:rFonts w:ascii="Arial" w:eastAsia="SimSun" w:hAnsi="Arial" w:cs="Arial"/>
          <w:sz w:val="20"/>
          <w:szCs w:val="20"/>
          <w:lang w:eastAsia="zh-CN"/>
        </w:rPr>
        <w:t xml:space="preserve">The higher the technical requirements, the more important it is to have qualified workers. </w:t>
      </w:r>
      <w:r w:rsidRPr="000E0C38">
        <w:rPr>
          <w:rFonts w:ascii="Arial" w:eastAsia="SimSun" w:hAnsi="Arial" w:cs="Arial"/>
          <w:sz w:val="20"/>
          <w:szCs w:val="20"/>
          <w:lang w:eastAsia="zh-CN"/>
        </w:rPr>
        <w:t xml:space="preserve">For instance, 83 per cent of the construction workforce in India </w:t>
      </w:r>
      <w:r w:rsidR="00550254" w:rsidRPr="000E0C38">
        <w:rPr>
          <w:rFonts w:ascii="Arial" w:eastAsia="SimSun" w:hAnsi="Arial" w:cs="Arial"/>
          <w:sz w:val="20"/>
          <w:szCs w:val="20"/>
          <w:lang w:eastAsia="zh-CN"/>
        </w:rPr>
        <w:t>are</w:t>
      </w:r>
      <w:r w:rsidRPr="000E0C38">
        <w:rPr>
          <w:rFonts w:ascii="Arial" w:eastAsia="SimSun" w:hAnsi="Arial" w:cs="Arial"/>
          <w:sz w:val="20"/>
          <w:szCs w:val="20"/>
          <w:lang w:eastAsia="zh-CN"/>
        </w:rPr>
        <w:t xml:space="preserve"> unskilled workers. According to the National Skill Development Corporation, the main skills gaps in India at the management level are at the planning stage, including weak capacity to estimate project costs.</w:t>
      </w:r>
      <w:r w:rsidRPr="000E0C38">
        <w:rPr>
          <w:rFonts w:ascii="Arial" w:eastAsia="SimSun" w:hAnsi="Arial" w:cs="Arial"/>
          <w:sz w:val="20"/>
          <w:szCs w:val="20"/>
          <w:vertAlign w:val="superscript"/>
          <w:lang w:eastAsia="zh-CN"/>
        </w:rPr>
        <w:footnoteReference w:id="69"/>
      </w:r>
      <w:r w:rsidRPr="000E0C38">
        <w:rPr>
          <w:rFonts w:ascii="Arial" w:eastAsia="SimSun" w:hAnsi="Arial" w:cs="Arial"/>
          <w:sz w:val="20"/>
          <w:szCs w:val="20"/>
          <w:lang w:eastAsia="zh-CN"/>
        </w:rPr>
        <w:t xml:space="preserve"> At the technical level there is inadequate knowledge of specific tasks – such as lining, levelling and finishing skills in carpentry – and lack of knowledge about machine operation. Unskilled workers generally lack safety orientation, general workplace skills and the ability to follow technical instructions.</w:t>
      </w:r>
      <w:r w:rsidR="000B0A07" w:rsidRPr="000E0C38">
        <w:rPr>
          <w:rFonts w:ascii="Arial" w:eastAsia="SimSun" w:hAnsi="Arial" w:cs="Arial"/>
          <w:sz w:val="20"/>
          <w:szCs w:val="20"/>
          <w:lang w:eastAsia="zh-CN"/>
        </w:rPr>
        <w:t xml:space="preserve"> </w:t>
      </w:r>
    </w:p>
    <w:p w14:paraId="3D79D1D6" w14:textId="77777777" w:rsidR="000B0A07"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Construction companies operate in various locations. Since mobilising and transferring workers is</w:t>
      </w:r>
      <w:r w:rsidR="00550254" w:rsidRPr="000E0C38">
        <w:rPr>
          <w:rFonts w:ascii="Arial" w:eastAsia="SimSun" w:hAnsi="Arial" w:cs="Arial"/>
          <w:sz w:val="20"/>
          <w:szCs w:val="20"/>
          <w:lang w:eastAsia="zh-CN"/>
        </w:rPr>
        <w:t xml:space="preserve"> costly, most companies recognis</w:t>
      </w:r>
      <w:r w:rsidRPr="000E0C38">
        <w:rPr>
          <w:rFonts w:ascii="Arial" w:eastAsia="SimSun" w:hAnsi="Arial" w:cs="Arial"/>
          <w:sz w:val="20"/>
          <w:szCs w:val="20"/>
          <w:lang w:eastAsia="zh-CN"/>
        </w:rPr>
        <w:t>e the importance of relying on the local workforce if the required skills and experience are available. When skilled workers are not available locally, it may be necessary to rely on expatriates, but differences in national vocational education and training systems may make the transfer of skills difficult. In many cases, there is a skills mismatch between internationally widely accepted qualification systems and national qualification systems.</w:t>
      </w:r>
      <w:r w:rsidRPr="000E0C38">
        <w:rPr>
          <w:rFonts w:ascii="Arial" w:eastAsia="SimSun" w:hAnsi="Arial" w:cs="Arial"/>
          <w:sz w:val="20"/>
          <w:szCs w:val="20"/>
          <w:vertAlign w:val="superscript"/>
          <w:lang w:eastAsia="zh-CN"/>
        </w:rPr>
        <w:footnoteReference w:id="70"/>
      </w:r>
      <w:r w:rsidR="000B0A07" w:rsidRPr="000E0C38">
        <w:rPr>
          <w:rFonts w:ascii="Arial" w:eastAsia="SimSun" w:hAnsi="Arial" w:cs="Arial"/>
          <w:sz w:val="20"/>
          <w:szCs w:val="20"/>
          <w:lang w:eastAsia="zh-CN"/>
        </w:rPr>
        <w:t xml:space="preserve"> </w:t>
      </w:r>
    </w:p>
    <w:p w14:paraId="0573C674" w14:textId="77777777" w:rsidR="0083286B" w:rsidRPr="000E0C38" w:rsidRDefault="004A2AC5" w:rsidP="00991DB7">
      <w:pPr>
        <w:pStyle w:val="BodyText"/>
        <w:spacing w:after="120" w:line="276" w:lineRule="auto"/>
        <w:jc w:val="both"/>
        <w:rPr>
          <w:rFonts w:eastAsia="Times New Roman"/>
          <w:lang w:eastAsia="en-GB"/>
        </w:rPr>
      </w:pPr>
      <w:r w:rsidRPr="000E0C38">
        <w:rPr>
          <w:lang w:eastAsia="zh-CN"/>
        </w:rPr>
        <w:t>Investment in skills may also be important to transitioning construction towards low</w:t>
      </w:r>
      <w:r w:rsidR="005F79D5" w:rsidRPr="000E0C38">
        <w:rPr>
          <w:lang w:eastAsia="zh-CN"/>
        </w:rPr>
        <w:t>er</w:t>
      </w:r>
      <w:r w:rsidRPr="000E0C38">
        <w:rPr>
          <w:lang w:eastAsia="zh-CN"/>
        </w:rPr>
        <w:t xml:space="preserve"> carbon and</w:t>
      </w:r>
      <w:r w:rsidR="005F79D5" w:rsidRPr="000E0C38">
        <w:rPr>
          <w:lang w:eastAsia="zh-CN"/>
        </w:rPr>
        <w:t xml:space="preserve"> more</w:t>
      </w:r>
      <w:r w:rsidRPr="000E0C38">
        <w:rPr>
          <w:lang w:eastAsia="zh-CN"/>
        </w:rPr>
        <w:t xml:space="preserve"> sustainable industry practices</w:t>
      </w:r>
      <w:r w:rsidR="005F79D5" w:rsidRPr="000E0C38">
        <w:rPr>
          <w:lang w:eastAsia="zh-CN"/>
        </w:rPr>
        <w:t xml:space="preserve"> to meet wider environmental and climate change goals</w:t>
      </w:r>
      <w:r w:rsidRPr="000E0C38">
        <w:rPr>
          <w:lang w:eastAsia="zh-CN"/>
        </w:rPr>
        <w:t>.</w:t>
      </w:r>
      <w:r w:rsidR="005F79D5" w:rsidRPr="000E0C38">
        <w:rPr>
          <w:lang w:eastAsia="zh-CN"/>
        </w:rPr>
        <w:t xml:space="preserve"> The demand for new skills lies </w:t>
      </w:r>
      <w:r w:rsidR="00E06ECF" w:rsidRPr="000E0C38">
        <w:rPr>
          <w:lang w:eastAsia="zh-CN"/>
        </w:rPr>
        <w:t xml:space="preserve">across a range of </w:t>
      </w:r>
      <w:r w:rsidR="00550254" w:rsidRPr="000E0C38">
        <w:rPr>
          <w:lang w:eastAsia="zh-CN"/>
        </w:rPr>
        <w:t xml:space="preserve">environmental issues related to </w:t>
      </w:r>
      <w:r w:rsidR="00E06ECF" w:rsidRPr="000E0C38">
        <w:rPr>
          <w:lang w:eastAsia="zh-CN"/>
        </w:rPr>
        <w:t>construction activities</w:t>
      </w:r>
      <w:r w:rsidR="00550254" w:rsidRPr="000E0C38">
        <w:rPr>
          <w:lang w:eastAsia="zh-CN"/>
        </w:rPr>
        <w:t>,</w:t>
      </w:r>
      <w:r w:rsidR="00E06ECF" w:rsidRPr="000E0C38">
        <w:rPr>
          <w:rFonts w:eastAsia="Times New Roman"/>
          <w:lang w:eastAsia="en-GB"/>
        </w:rPr>
        <w:t xml:space="preserve"> including</w:t>
      </w:r>
      <w:r w:rsidR="00550254" w:rsidRPr="000E0C38">
        <w:rPr>
          <w:rFonts w:eastAsia="Times New Roman"/>
          <w:lang w:eastAsia="en-GB"/>
        </w:rPr>
        <w:t>:</w:t>
      </w:r>
      <w:r w:rsidR="00E06ECF" w:rsidRPr="000E0C38">
        <w:rPr>
          <w:rFonts w:eastAsia="Times New Roman"/>
          <w:lang w:eastAsia="en-GB"/>
        </w:rPr>
        <w:t xml:space="preserve"> the </w:t>
      </w:r>
      <w:r w:rsidR="005F79D5" w:rsidRPr="000E0C38">
        <w:rPr>
          <w:rFonts w:eastAsia="Times New Roman"/>
          <w:lang w:eastAsia="en-GB"/>
        </w:rPr>
        <w:t>reduced consumption of energy, materials, and water</w:t>
      </w:r>
      <w:r w:rsidR="00550254" w:rsidRPr="000E0C38">
        <w:rPr>
          <w:rFonts w:eastAsia="Times New Roman"/>
          <w:lang w:eastAsia="en-GB"/>
        </w:rPr>
        <w:t>;</w:t>
      </w:r>
      <w:r w:rsidR="00E06ECF" w:rsidRPr="000E0C38">
        <w:rPr>
          <w:rFonts w:eastAsia="Times New Roman"/>
          <w:lang w:eastAsia="en-GB"/>
        </w:rPr>
        <w:t xml:space="preserve"> development of building scale </w:t>
      </w:r>
      <w:r w:rsidR="005F79D5" w:rsidRPr="000E0C38">
        <w:rPr>
          <w:rFonts w:eastAsia="Times New Roman"/>
          <w:lang w:eastAsia="en-GB"/>
        </w:rPr>
        <w:t>energy systems</w:t>
      </w:r>
      <w:r w:rsidR="00550254" w:rsidRPr="000E0C38">
        <w:rPr>
          <w:rFonts w:eastAsia="Times New Roman"/>
          <w:lang w:eastAsia="en-GB"/>
        </w:rPr>
        <w:t>;</w:t>
      </w:r>
      <w:r w:rsidR="005F79D5" w:rsidRPr="000E0C38">
        <w:rPr>
          <w:rFonts w:eastAsia="Times New Roman"/>
          <w:lang w:eastAsia="en-GB"/>
        </w:rPr>
        <w:t xml:space="preserve"> low carbon transport</w:t>
      </w:r>
      <w:r w:rsidR="00E06ECF" w:rsidRPr="000E0C38">
        <w:rPr>
          <w:rFonts w:eastAsia="Times New Roman"/>
          <w:lang w:eastAsia="en-GB"/>
        </w:rPr>
        <w:t xml:space="preserve"> infrastructure</w:t>
      </w:r>
      <w:r w:rsidR="00550254" w:rsidRPr="000E0C38">
        <w:rPr>
          <w:rFonts w:eastAsia="Times New Roman"/>
          <w:lang w:eastAsia="en-GB"/>
        </w:rPr>
        <w:t>;</w:t>
      </w:r>
      <w:r w:rsidR="00E06ECF" w:rsidRPr="000E0C38">
        <w:rPr>
          <w:rFonts w:eastAsia="Times New Roman"/>
          <w:lang w:eastAsia="en-GB"/>
        </w:rPr>
        <w:t xml:space="preserve"> green </w:t>
      </w:r>
      <w:r w:rsidR="005F79D5" w:rsidRPr="000E0C38">
        <w:rPr>
          <w:rFonts w:eastAsia="Times New Roman"/>
          <w:lang w:eastAsia="en-GB"/>
        </w:rPr>
        <w:t>housing development</w:t>
      </w:r>
      <w:r w:rsidR="00550254" w:rsidRPr="000E0C38">
        <w:rPr>
          <w:rFonts w:eastAsia="Times New Roman"/>
          <w:lang w:eastAsia="en-GB"/>
        </w:rPr>
        <w:t>;</w:t>
      </w:r>
      <w:r w:rsidR="005F79D5" w:rsidRPr="000E0C38">
        <w:rPr>
          <w:rFonts w:eastAsia="Times New Roman"/>
          <w:lang w:eastAsia="en-GB"/>
        </w:rPr>
        <w:t xml:space="preserve"> waste minimisation</w:t>
      </w:r>
      <w:r w:rsidR="00550254" w:rsidRPr="000E0C38">
        <w:rPr>
          <w:rFonts w:eastAsia="Times New Roman"/>
          <w:lang w:eastAsia="en-GB"/>
        </w:rPr>
        <w:t>;</w:t>
      </w:r>
      <w:r w:rsidR="005F79D5" w:rsidRPr="000E0C38">
        <w:rPr>
          <w:rFonts w:eastAsia="Times New Roman"/>
          <w:lang w:eastAsia="en-GB"/>
        </w:rPr>
        <w:t xml:space="preserve"> and pollution control.</w:t>
      </w:r>
      <w:r w:rsidR="005F79D5" w:rsidRPr="000E0C38">
        <w:rPr>
          <w:rFonts w:eastAsia="Times New Roman"/>
          <w:vertAlign w:val="superscript"/>
          <w:lang w:eastAsia="en-GB"/>
        </w:rPr>
        <w:footnoteReference w:id="71"/>
      </w:r>
    </w:p>
    <w:p w14:paraId="4590FD19" w14:textId="592BD3E2" w:rsidR="006F54ED" w:rsidRPr="000E0C38" w:rsidRDefault="0083286B" w:rsidP="00991DB7">
      <w:pPr>
        <w:pStyle w:val="BodyText"/>
        <w:spacing w:after="120" w:line="276" w:lineRule="auto"/>
        <w:jc w:val="both"/>
        <w:rPr>
          <w:rFonts w:eastAsia="Times New Roman"/>
          <w:lang w:eastAsia="en-GB"/>
        </w:rPr>
      </w:pPr>
      <w:r w:rsidRPr="000E0C38">
        <w:rPr>
          <w:rFonts w:eastAsia="Times New Roman"/>
          <w:lang w:eastAsia="en-GB"/>
        </w:rPr>
        <w:t xml:space="preserve">Green jobs may also be of higher quality </w:t>
      </w:r>
      <w:r w:rsidR="00550254" w:rsidRPr="000E0C38">
        <w:rPr>
          <w:rFonts w:eastAsia="Times New Roman"/>
          <w:lang w:eastAsia="en-GB"/>
        </w:rPr>
        <w:t xml:space="preserve">than those they displace. </w:t>
      </w:r>
      <w:r w:rsidRPr="000E0C38">
        <w:rPr>
          <w:rFonts w:eastAsia="Times New Roman"/>
          <w:lang w:eastAsia="en-GB"/>
        </w:rPr>
        <w:t>The UNFCCC and the ILO have argued that taking action to mitigate climate change creates high-quality employment in the long run.</w:t>
      </w:r>
      <w:r w:rsidRPr="000E0C38">
        <w:rPr>
          <w:rFonts w:eastAsia="Times New Roman"/>
          <w:vertAlign w:val="superscript"/>
          <w:lang w:eastAsia="en-GB"/>
        </w:rPr>
        <w:footnoteReference w:id="72"/>
      </w:r>
      <w:r w:rsidRPr="000E0C38">
        <w:rPr>
          <w:rFonts w:eastAsia="Times New Roman"/>
          <w:lang w:eastAsia="en-GB"/>
        </w:rPr>
        <w:t xml:space="preserve"> There may </w:t>
      </w:r>
      <w:r w:rsidR="000D4149" w:rsidRPr="000E0C38">
        <w:rPr>
          <w:rFonts w:eastAsia="Times New Roman"/>
          <w:lang w:eastAsia="en-GB"/>
        </w:rPr>
        <w:t xml:space="preserve">also </w:t>
      </w:r>
      <w:r w:rsidRPr="000E0C38">
        <w:rPr>
          <w:rFonts w:eastAsia="Times New Roman"/>
          <w:lang w:eastAsia="en-GB"/>
        </w:rPr>
        <w:t>be social inclusion benefits as many green jobs are in the informal economy and</w:t>
      </w:r>
      <w:r w:rsidR="00550254" w:rsidRPr="000E0C38">
        <w:rPr>
          <w:rFonts w:eastAsia="Times New Roman"/>
          <w:lang w:eastAsia="en-GB"/>
        </w:rPr>
        <w:t xml:space="preserve"> </w:t>
      </w:r>
      <w:r w:rsidRPr="000E0C38">
        <w:rPr>
          <w:rFonts w:eastAsia="Times New Roman"/>
          <w:lang w:eastAsia="en-GB"/>
        </w:rPr>
        <w:t>/</w:t>
      </w:r>
      <w:r w:rsidR="00550254" w:rsidRPr="000E0C38">
        <w:rPr>
          <w:rFonts w:eastAsia="Times New Roman"/>
          <w:lang w:eastAsia="en-GB"/>
        </w:rPr>
        <w:t xml:space="preserve"> </w:t>
      </w:r>
      <w:r w:rsidRPr="000E0C38">
        <w:rPr>
          <w:rFonts w:eastAsia="Times New Roman"/>
          <w:lang w:eastAsia="en-GB"/>
        </w:rPr>
        <w:t>or acc</w:t>
      </w:r>
      <w:r w:rsidR="00550254" w:rsidRPr="000E0C38">
        <w:rPr>
          <w:rFonts w:eastAsia="Times New Roman"/>
          <w:lang w:eastAsia="en-GB"/>
        </w:rPr>
        <w:t xml:space="preserve">essible to lower tier workers. </w:t>
      </w:r>
      <w:r w:rsidRPr="000E0C38">
        <w:rPr>
          <w:rFonts w:eastAsia="Times New Roman"/>
          <w:lang w:eastAsia="en-GB"/>
        </w:rPr>
        <w:t>UNEP argues that the greening of economies is also a net generator of decent jobs</w:t>
      </w:r>
      <w:r w:rsidR="00550254" w:rsidRPr="000E0C38">
        <w:rPr>
          <w:rFonts w:eastAsia="Times New Roman"/>
          <w:lang w:eastAsia="en-GB"/>
        </w:rPr>
        <w:t>:</w:t>
      </w:r>
      <w:r w:rsidRPr="000E0C38">
        <w:rPr>
          <w:rFonts w:eastAsia="Times New Roman"/>
          <w:lang w:eastAsia="en-GB"/>
        </w:rPr>
        <w:t xml:space="preserve"> offering adequate wages, safe working conditions, job security, reasonable career prospects</w:t>
      </w:r>
      <w:r w:rsidR="00550254" w:rsidRPr="000E0C38">
        <w:rPr>
          <w:rFonts w:eastAsia="Times New Roman"/>
          <w:lang w:eastAsia="en-GB"/>
        </w:rPr>
        <w:t>,</w:t>
      </w:r>
      <w:r w:rsidRPr="000E0C38">
        <w:rPr>
          <w:rFonts w:eastAsia="Times New Roman"/>
          <w:lang w:eastAsia="en-GB"/>
        </w:rPr>
        <w:t xml:space="preserve"> and worker rights.</w:t>
      </w:r>
      <w:r w:rsidRPr="000E0C38">
        <w:rPr>
          <w:rFonts w:eastAsia="Times New Roman"/>
          <w:color w:val="000000"/>
          <w:vertAlign w:val="superscript"/>
          <w:lang w:eastAsia="en-GB"/>
        </w:rPr>
        <w:footnoteReference w:id="73"/>
      </w:r>
    </w:p>
    <w:p w14:paraId="664A8152" w14:textId="77777777" w:rsidR="006F54ED" w:rsidRPr="000E0C38" w:rsidRDefault="006F54ED" w:rsidP="00991DB7">
      <w:pPr>
        <w:pStyle w:val="BodyText"/>
        <w:spacing w:after="120" w:line="276" w:lineRule="auto"/>
        <w:jc w:val="both"/>
      </w:pPr>
      <w:r w:rsidRPr="000E0C38">
        <w:rPr>
          <w:rFonts w:eastAsia="Times New Roman"/>
          <w:lang w:eastAsia="en-GB"/>
        </w:rPr>
        <w:t>More efficient and cleaner construction</w:t>
      </w:r>
      <w:r w:rsidRPr="000E0C38">
        <w:t xml:space="preserve"> approaches can support a shift from manual labour to pre-fabrication and on-site assembly</w:t>
      </w:r>
      <w:r w:rsidR="00550254" w:rsidRPr="000E0C38">
        <w:t>,</w:t>
      </w:r>
      <w:r w:rsidRPr="000E0C38">
        <w:t xml:space="preserve"> which not only creates higher skilled employment opportunities in the supply chain, but also can improve quality control.</w:t>
      </w:r>
      <w:r w:rsidRPr="000E0C38">
        <w:rPr>
          <w:rStyle w:val="FootnoteReference"/>
        </w:rPr>
        <w:footnoteReference w:id="74"/>
      </w:r>
      <w:r w:rsidR="00550254" w:rsidRPr="000E0C38">
        <w:t xml:space="preserve"> A key issue is</w:t>
      </w:r>
      <w:r w:rsidRPr="000E0C38">
        <w:t xml:space="preserve"> the lack of availability of a higher skilled workforce that </w:t>
      </w:r>
      <w:r w:rsidRPr="000E0C38">
        <w:lastRenderedPageBreak/>
        <w:t>might underpin a shift towards a more efficient and safer construction sector, rather than continuing to rely on labour intensive and poor-quality methods.</w:t>
      </w:r>
    </w:p>
    <w:p w14:paraId="53500D71" w14:textId="77777777" w:rsidR="00E90A08" w:rsidRPr="000E0C38" w:rsidRDefault="00E90A08" w:rsidP="00991DB7">
      <w:pPr>
        <w:pStyle w:val="BodyText"/>
        <w:spacing w:after="120" w:line="276" w:lineRule="auto"/>
        <w:jc w:val="both"/>
        <w:rPr>
          <w:rFonts w:eastAsia="Times New Roman"/>
          <w:lang w:eastAsia="en-GB"/>
        </w:rPr>
      </w:pPr>
      <w:r w:rsidRPr="000E0C38">
        <w:rPr>
          <w:rFonts w:eastAsia="Times New Roman"/>
          <w:lang w:eastAsia="en-GB"/>
        </w:rPr>
        <w:t>Green jobs can also be promoted through the supply chain, by supporting the use of locally sourced renewable materials, providing opportunities for both</w:t>
      </w:r>
      <w:r w:rsidR="00466F23" w:rsidRPr="000E0C38">
        <w:rPr>
          <w:rFonts w:eastAsia="Times New Roman"/>
          <w:lang w:eastAsia="en-GB"/>
        </w:rPr>
        <w:t xml:space="preserve"> skilled and unskilled labour. </w:t>
      </w:r>
      <w:r w:rsidRPr="000E0C38">
        <w:rPr>
          <w:rFonts w:eastAsia="Times New Roman"/>
          <w:lang w:eastAsia="en-GB"/>
        </w:rPr>
        <w:t>A key issue has been lack of investment in research, codes</w:t>
      </w:r>
      <w:r w:rsidR="00466F23" w:rsidRPr="000E0C38">
        <w:rPr>
          <w:rFonts w:eastAsia="Times New Roman"/>
          <w:lang w:eastAsia="en-GB"/>
        </w:rPr>
        <w:t>,</w:t>
      </w:r>
      <w:r w:rsidRPr="000E0C38">
        <w:rPr>
          <w:rFonts w:eastAsia="Times New Roman"/>
          <w:lang w:eastAsia="en-GB"/>
        </w:rPr>
        <w:t xml:space="preserve"> and standards that support local forms of construction.</w:t>
      </w:r>
      <w:r w:rsidR="00466F23" w:rsidRPr="000E0C38">
        <w:rPr>
          <w:rFonts w:eastAsia="Times New Roman"/>
          <w:lang w:eastAsia="en-GB"/>
        </w:rPr>
        <w:t xml:space="preserve"> </w:t>
      </w:r>
      <w:r w:rsidRPr="000E0C38">
        <w:rPr>
          <w:rFonts w:eastAsia="Times New Roman"/>
          <w:lang w:eastAsia="en-GB"/>
        </w:rPr>
        <w:t xml:space="preserve">The </w:t>
      </w:r>
      <w:r w:rsidR="004D6934" w:rsidRPr="000E0C38">
        <w:rPr>
          <w:rFonts w:eastAsia="Times New Roman"/>
          <w:lang w:eastAsia="en-GB"/>
        </w:rPr>
        <w:t xml:space="preserve">trend towards the </w:t>
      </w:r>
      <w:r w:rsidRPr="000E0C38">
        <w:rPr>
          <w:rFonts w:eastAsia="Times New Roman"/>
          <w:lang w:eastAsia="en-GB"/>
        </w:rPr>
        <w:t>greater use of concrete also creates environmental challenges (energy intensive production, embedded CO2, shortages of inputs)</w:t>
      </w:r>
      <w:r w:rsidR="004D6934" w:rsidRPr="000E0C38">
        <w:rPr>
          <w:rFonts w:eastAsia="Times New Roman"/>
          <w:lang w:eastAsia="en-GB"/>
        </w:rPr>
        <w:t>.</w:t>
      </w:r>
    </w:p>
    <w:p w14:paraId="41207C0C" w14:textId="77777777" w:rsidR="004D6934" w:rsidRPr="000E0C38" w:rsidRDefault="004D6934" w:rsidP="00991DB7">
      <w:pPr>
        <w:pStyle w:val="BodyText"/>
        <w:spacing w:after="120" w:line="276" w:lineRule="auto"/>
        <w:jc w:val="both"/>
      </w:pPr>
      <w:r w:rsidRPr="000E0C38">
        <w:t>Opportunities also exist to support safer and more resilient building construction an</w:t>
      </w:r>
      <w:r w:rsidR="00466F23" w:rsidRPr="000E0C38">
        <w:t xml:space="preserve">d retrofit. </w:t>
      </w:r>
      <w:r w:rsidRPr="000E0C38">
        <w:t xml:space="preserve">For example, </w:t>
      </w:r>
      <w:r w:rsidRPr="000E0C38">
        <w:rPr>
          <w:rFonts w:ascii="Times New Roman" w:eastAsiaTheme="minorEastAsia" w:hAnsi="Times New Roman" w:cs="Times New Roman"/>
          <w:lang w:eastAsia="zh-CN"/>
        </w:rPr>
        <w:t>t</w:t>
      </w:r>
      <w:r w:rsidRPr="000E0C38">
        <w:t>he World Bank’s Global Programme for Safe Schools has highlighted the need for comprehensive national repair and retro-fitting programmes, and shortfalls in institutional capacity required to ensure even relatively simple structures are built safely, operated</w:t>
      </w:r>
      <w:r w:rsidR="00466F23" w:rsidRPr="000E0C38">
        <w:t>,</w:t>
      </w:r>
      <w:r w:rsidRPr="000E0C38">
        <w:t xml:space="preserve"> and maintained. Investment is needed to build the capacity of local SME contractors to undertake construction</w:t>
      </w:r>
      <w:r w:rsidR="00466F23" w:rsidRPr="000E0C38">
        <w:t xml:space="preserve"> </w:t>
      </w:r>
      <w:r w:rsidRPr="000E0C38">
        <w:t>/</w:t>
      </w:r>
      <w:r w:rsidR="00466F23" w:rsidRPr="000E0C38">
        <w:t xml:space="preserve"> </w:t>
      </w:r>
      <w:r w:rsidRPr="000E0C38">
        <w:t>repairs</w:t>
      </w:r>
      <w:r w:rsidR="00466F23" w:rsidRPr="000E0C38">
        <w:t>,</w:t>
      </w:r>
      <w:r w:rsidRPr="000E0C38">
        <w:t xml:space="preserve"> which would generate employment opportunities locally. In Bangladesh, the </w:t>
      </w:r>
      <w:r w:rsidR="006F54ED" w:rsidRPr="000E0C38">
        <w:t xml:space="preserve">collapse of the </w:t>
      </w:r>
      <w:r w:rsidRPr="000E0C38">
        <w:t xml:space="preserve">Rana Plaza </w:t>
      </w:r>
      <w:r w:rsidR="006F54ED" w:rsidRPr="000E0C38">
        <w:t>was addressed through a</w:t>
      </w:r>
      <w:r w:rsidRPr="000E0C38">
        <w:t xml:space="preserve"> major initiative led by the </w:t>
      </w:r>
      <w:proofErr w:type="spellStart"/>
      <w:r w:rsidRPr="000E0C38">
        <w:t>GoB</w:t>
      </w:r>
      <w:proofErr w:type="spellEnd"/>
      <w:r w:rsidRPr="000E0C38">
        <w:t xml:space="preserve"> supported by ILO, the Alliance and the Accord to survey </w:t>
      </w:r>
      <w:r w:rsidR="006F54ED" w:rsidRPr="000E0C38">
        <w:t>large numbers of f</w:t>
      </w:r>
      <w:r w:rsidRPr="000E0C38">
        <w:t xml:space="preserve">actories and carry out remedial measures to improve </w:t>
      </w:r>
      <w:r w:rsidR="00466F23" w:rsidRPr="000E0C38">
        <w:t>OSH</w:t>
      </w:r>
      <w:r w:rsidRPr="000E0C38">
        <w:t xml:space="preserve"> (</w:t>
      </w:r>
      <w:r w:rsidR="006F54ED" w:rsidRPr="000E0C38">
        <w:t xml:space="preserve">e.g. </w:t>
      </w:r>
      <w:r w:rsidRPr="000E0C38">
        <w:t>fire, electricity, structure).</w:t>
      </w:r>
    </w:p>
    <w:p w14:paraId="1643A397" w14:textId="77777777" w:rsidR="005F79D5" w:rsidRPr="000E0C38" w:rsidRDefault="000D4149" w:rsidP="00991DB7">
      <w:pPr>
        <w:pStyle w:val="BodyText"/>
        <w:spacing w:after="120" w:line="276" w:lineRule="auto"/>
        <w:jc w:val="both"/>
      </w:pPr>
      <w:r w:rsidRPr="000E0C38">
        <w:t>Employment opportunities also exist around the development of greater monitoring and compliance activities (e.g. Environmental and Social Impact Assessments) which in many DFID countries either don’t currently exist or are not adhered to, but which form a significant area of employment in more developed economies.</w:t>
      </w:r>
      <w:r w:rsidR="00466F23" w:rsidRPr="000E0C38">
        <w:t xml:space="preserve"> </w:t>
      </w:r>
      <w:r w:rsidR="00E90A08" w:rsidRPr="000E0C38">
        <w:t>There will also be an increased demand for environmental engineers and technicians.</w:t>
      </w:r>
    </w:p>
    <w:p w14:paraId="3BE7996B" w14:textId="77777777" w:rsidR="008632F2" w:rsidRPr="000E0C38" w:rsidRDefault="00067D95" w:rsidP="00550254">
      <w:pPr>
        <w:pStyle w:val="Heading2"/>
        <w:spacing w:before="0"/>
        <w:rPr>
          <w:lang w:eastAsia="zh-CN"/>
        </w:rPr>
      </w:pPr>
      <w:bookmarkStart w:id="25" w:name="_Toc498019397"/>
      <w:r w:rsidRPr="000E0C38">
        <w:rPr>
          <w:lang w:eastAsia="zh-CN"/>
        </w:rPr>
        <w:t xml:space="preserve">2.7 </w:t>
      </w:r>
      <w:r w:rsidR="008632F2" w:rsidRPr="000E0C38">
        <w:rPr>
          <w:lang w:eastAsia="zh-CN"/>
        </w:rPr>
        <w:t>Collective bargaining and union density</w:t>
      </w:r>
      <w:bookmarkEnd w:id="25"/>
    </w:p>
    <w:p w14:paraId="3EF5753D"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The right of workers to bargain freely with employers is </w:t>
      </w:r>
      <w:r w:rsidR="00466F23" w:rsidRPr="000E0C38">
        <w:rPr>
          <w:rFonts w:ascii="Arial" w:eastAsia="SimSun" w:hAnsi="Arial" w:cs="Arial"/>
          <w:sz w:val="20"/>
          <w:szCs w:val="20"/>
          <w:lang w:eastAsia="zh-CN"/>
        </w:rPr>
        <w:t>important, so that</w:t>
      </w:r>
      <w:r w:rsidR="005F5F5A" w:rsidRPr="000E0C38">
        <w:rPr>
          <w:rFonts w:ascii="Arial" w:eastAsia="SimSun" w:hAnsi="Arial" w:cs="Arial"/>
          <w:sz w:val="20"/>
          <w:szCs w:val="20"/>
          <w:lang w:eastAsia="zh-CN"/>
        </w:rPr>
        <w:t xml:space="preserve"> workers </w:t>
      </w:r>
      <w:r w:rsidR="00466F23" w:rsidRPr="000E0C38">
        <w:rPr>
          <w:rFonts w:ascii="Arial" w:eastAsia="SimSun" w:hAnsi="Arial" w:cs="Arial"/>
          <w:sz w:val="20"/>
          <w:szCs w:val="20"/>
          <w:lang w:eastAsia="zh-CN"/>
        </w:rPr>
        <w:t>can</w:t>
      </w:r>
      <w:r w:rsidR="005F5F5A" w:rsidRPr="000E0C38">
        <w:rPr>
          <w:rFonts w:ascii="Arial" w:eastAsia="SimSun" w:hAnsi="Arial" w:cs="Arial"/>
          <w:sz w:val="20"/>
          <w:szCs w:val="20"/>
          <w:lang w:eastAsia="zh-CN"/>
        </w:rPr>
        <w:t xml:space="preserve"> negotiate decent salaries and working conditions</w:t>
      </w:r>
      <w:r w:rsidRPr="000E0C38">
        <w:rPr>
          <w:rFonts w:ascii="Arial" w:eastAsia="SimSun" w:hAnsi="Arial" w:cs="Arial"/>
          <w:sz w:val="20"/>
          <w:szCs w:val="20"/>
          <w:lang w:eastAsia="zh-CN"/>
        </w:rPr>
        <w:t>. Collective bargaining is a voluntary process through which employers and workers discuss and negotiate their relations, in particular terms and conditions of work. It can involve employers directly, or as represented through their organi</w:t>
      </w:r>
      <w:r w:rsidR="00EA351A" w:rsidRPr="000E0C38">
        <w:rPr>
          <w:rFonts w:ascii="Arial" w:eastAsia="SimSun" w:hAnsi="Arial" w:cs="Arial"/>
          <w:sz w:val="20"/>
          <w:szCs w:val="20"/>
          <w:lang w:eastAsia="zh-CN"/>
        </w:rPr>
        <w:t>s</w:t>
      </w:r>
      <w:r w:rsidRPr="000E0C38">
        <w:rPr>
          <w:rFonts w:ascii="Arial" w:eastAsia="SimSun" w:hAnsi="Arial" w:cs="Arial"/>
          <w:sz w:val="20"/>
          <w:szCs w:val="20"/>
          <w:lang w:eastAsia="zh-CN"/>
        </w:rPr>
        <w:t>ations; and trade unions or, in their absence, representatives freely designated by the workers.</w:t>
      </w:r>
    </w:p>
    <w:p w14:paraId="699F770E" w14:textId="016C7C2B" w:rsidR="008632F2" w:rsidRPr="000E0C38" w:rsidRDefault="00134098" w:rsidP="008F4768">
      <w:pPr>
        <w:spacing w:after="120" w:line="276" w:lineRule="auto"/>
        <w:jc w:val="both"/>
        <w:rPr>
          <w:rFonts w:ascii="Arial" w:eastAsia="SimSun" w:hAnsi="Arial" w:cs="Arial"/>
          <w:sz w:val="20"/>
          <w:szCs w:val="20"/>
          <w:lang w:eastAsia="zh-CN"/>
        </w:rPr>
      </w:pPr>
      <w:r w:rsidRPr="000E0C38">
        <w:fldChar w:fldCharType="begin"/>
      </w:r>
      <w:r w:rsidRPr="000E0C38">
        <w:instrText xml:space="preserve"> REF _Ref492396268 \h  \* MERGEFORMAT </w:instrText>
      </w:r>
      <w:r w:rsidRPr="000E0C38">
        <w:fldChar w:fldCharType="separate"/>
      </w:r>
      <w:r w:rsidR="001A6968" w:rsidRPr="000E0C38">
        <w:rPr>
          <w:rFonts w:ascii="Arial" w:hAnsi="Arial" w:cs="Arial"/>
          <w:sz w:val="20"/>
          <w:szCs w:val="20"/>
        </w:rPr>
        <w:t>Figure 6</w:t>
      </w:r>
      <w:r w:rsidRPr="000E0C38">
        <w:fldChar w:fldCharType="end"/>
      </w:r>
      <w:r w:rsidR="00EA351A" w:rsidRPr="000E0C38">
        <w:rPr>
          <w:rFonts w:ascii="Arial" w:eastAsia="SimSun" w:hAnsi="Arial" w:cs="Arial"/>
          <w:sz w:val="20"/>
          <w:szCs w:val="20"/>
          <w:lang w:eastAsia="zh-CN"/>
        </w:rPr>
        <w:t xml:space="preserve"> shows </w:t>
      </w:r>
      <w:r w:rsidR="005F5F5A" w:rsidRPr="000E0C38">
        <w:rPr>
          <w:rFonts w:ascii="Arial" w:eastAsia="SimSun" w:hAnsi="Arial" w:cs="Arial"/>
          <w:sz w:val="20"/>
          <w:szCs w:val="20"/>
          <w:lang w:eastAsia="zh-CN"/>
        </w:rPr>
        <w:t xml:space="preserve">economy-wide </w:t>
      </w:r>
      <w:r w:rsidR="008632F2" w:rsidRPr="000E0C38">
        <w:rPr>
          <w:rFonts w:ascii="Arial" w:eastAsia="SimSun" w:hAnsi="Arial" w:cs="Arial"/>
          <w:sz w:val="20"/>
          <w:szCs w:val="20"/>
          <w:lang w:eastAsia="zh-CN"/>
        </w:rPr>
        <w:t>union density in different DFID countries of focus. Union density differs widely from country to country.</w:t>
      </w:r>
      <w:r w:rsidR="008632F2" w:rsidRPr="000E0C38">
        <w:rPr>
          <w:rFonts w:ascii="Arial" w:eastAsia="SimSun" w:hAnsi="Arial" w:cs="Arial"/>
          <w:sz w:val="20"/>
          <w:szCs w:val="20"/>
          <w:vertAlign w:val="superscript"/>
          <w:lang w:eastAsia="zh-CN"/>
        </w:rPr>
        <w:footnoteReference w:id="75"/>
      </w:r>
      <w:r w:rsidR="008632F2" w:rsidRPr="000E0C38">
        <w:rPr>
          <w:rFonts w:ascii="Arial" w:eastAsia="SimSun" w:hAnsi="Arial" w:cs="Arial"/>
          <w:sz w:val="20"/>
          <w:szCs w:val="20"/>
          <w:lang w:eastAsia="zh-CN"/>
        </w:rPr>
        <w:t xml:space="preserve"> </w:t>
      </w:r>
    </w:p>
    <w:p w14:paraId="25A74262" w14:textId="4930C0F9" w:rsidR="009E64CA" w:rsidRPr="000E0C38" w:rsidRDefault="003B5B06">
      <w:pPr>
        <w:pStyle w:val="Caption"/>
        <w:keepNext/>
        <w:spacing w:after="0"/>
        <w:jc w:val="both"/>
        <w:rPr>
          <w:b/>
          <w:sz w:val="20"/>
        </w:rPr>
      </w:pPr>
      <w:bookmarkStart w:id="26" w:name="_Ref492396268"/>
      <w:r w:rsidRPr="000E0C38">
        <w:rPr>
          <w:b/>
          <w:sz w:val="20"/>
          <w:szCs w:val="24"/>
        </w:rPr>
        <w:t xml:space="preserve">Figure </w:t>
      </w:r>
      <w:r w:rsidR="00226ED7" w:rsidRPr="000E0C38">
        <w:rPr>
          <w:b/>
          <w:sz w:val="20"/>
          <w:szCs w:val="24"/>
        </w:rPr>
        <w:fldChar w:fldCharType="begin"/>
      </w:r>
      <w:r w:rsidRPr="000E0C38">
        <w:rPr>
          <w:b/>
          <w:sz w:val="20"/>
          <w:szCs w:val="24"/>
        </w:rPr>
        <w:instrText xml:space="preserve"> SEQ Figure \* ARABIC </w:instrText>
      </w:r>
      <w:r w:rsidR="00226ED7" w:rsidRPr="000E0C38">
        <w:rPr>
          <w:b/>
          <w:sz w:val="20"/>
          <w:szCs w:val="24"/>
        </w:rPr>
        <w:fldChar w:fldCharType="separate"/>
      </w:r>
      <w:r w:rsidR="001A6968" w:rsidRPr="000E0C38">
        <w:rPr>
          <w:b/>
          <w:sz w:val="20"/>
          <w:szCs w:val="24"/>
        </w:rPr>
        <w:t>6</w:t>
      </w:r>
      <w:r w:rsidR="00226ED7" w:rsidRPr="000E0C38">
        <w:rPr>
          <w:b/>
          <w:sz w:val="20"/>
          <w:szCs w:val="24"/>
        </w:rPr>
        <w:fldChar w:fldCharType="end"/>
      </w:r>
      <w:bookmarkEnd w:id="26"/>
      <w:r w:rsidR="00EA351A" w:rsidRPr="000E0C38">
        <w:rPr>
          <w:b/>
          <w:sz w:val="20"/>
        </w:rPr>
        <w:t>: Trade union density (x-axis) versus female employment share (y-axis) for DFID Focus Countries</w:t>
      </w:r>
      <w:r w:rsidR="00F55167" w:rsidRPr="000E0C38">
        <w:rPr>
          <w:b/>
          <w:sz w:val="20"/>
        </w:rPr>
        <w:t xml:space="preserve"> (latest year available)</w:t>
      </w:r>
    </w:p>
    <w:p w14:paraId="1CAA6B77" w14:textId="6AD0C7F3" w:rsidR="009E64CA" w:rsidRPr="000E0C38" w:rsidRDefault="00593181">
      <w:pPr>
        <w:spacing w:line="276" w:lineRule="auto"/>
        <w:jc w:val="both"/>
        <w:rPr>
          <w:rFonts w:ascii="Arial" w:eastAsia="SimSun" w:hAnsi="Arial" w:cs="Arial"/>
          <w:sz w:val="20"/>
          <w:szCs w:val="20"/>
          <w:lang w:eastAsia="zh-CN"/>
        </w:rPr>
      </w:pPr>
      <w:r w:rsidRPr="000E0C38">
        <w:rPr>
          <w:rFonts w:ascii="Arial" w:eastAsia="SimSun" w:hAnsi="Arial" w:cs="Arial"/>
          <w:noProof/>
          <w:sz w:val="16"/>
          <w:szCs w:val="16"/>
          <w:lang w:eastAsia="en-GB"/>
        </w:rPr>
        <mc:AlternateContent>
          <mc:Choice Requires="wps">
            <w:drawing>
              <wp:anchor distT="45720" distB="45720" distL="114300" distR="114300" simplePos="0" relativeHeight="251663360" behindDoc="0" locked="0" layoutInCell="1" allowOverlap="1" wp14:anchorId="7604590F" wp14:editId="3E49BF87">
                <wp:simplePos x="0" y="0"/>
                <wp:positionH relativeFrom="column">
                  <wp:posOffset>-86360</wp:posOffset>
                </wp:positionH>
                <wp:positionV relativeFrom="paragraph">
                  <wp:posOffset>2584450</wp:posOffset>
                </wp:positionV>
                <wp:extent cx="5996940" cy="358140"/>
                <wp:effectExtent l="0" t="0" r="381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358140"/>
                        </a:xfrm>
                        <a:prstGeom prst="rect">
                          <a:avLst/>
                        </a:prstGeom>
                        <a:solidFill>
                          <a:srgbClr val="FFFFFF"/>
                        </a:solidFill>
                        <a:ln w="9525">
                          <a:noFill/>
                          <a:miter lim="800000"/>
                          <a:headEnd/>
                          <a:tailEnd/>
                        </a:ln>
                      </wps:spPr>
                      <wps:txbx>
                        <w:txbxContent>
                          <w:p w14:paraId="673DC2F2" w14:textId="484DF464" w:rsidR="006A62B6" w:rsidRPr="00432BEF" w:rsidRDefault="006A62B6">
                            <w:pPr>
                              <w:rPr>
                                <w:sz w:val="16"/>
                                <w:szCs w:val="16"/>
                              </w:rPr>
                            </w:pPr>
                            <w:r w:rsidRPr="00432BEF">
                              <w:rPr>
                                <w:sz w:val="16"/>
                                <w:szCs w:val="16"/>
                              </w:rPr>
                              <w:t>Source: ILOSTAT. Note: The vertical axis is set at 24% per cent, the world average trade union density. The horizontal axis is set at 9 per cent, the average female employment share for the sample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4590F" id="_x0000_s1029" type="#_x0000_t202" style="position:absolute;left:0;text-align:left;margin-left:-6.8pt;margin-top:203.5pt;width:472.2pt;height:2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" stroked="f">
                <v:textbox>
                  <w:txbxContent>
                    <w:p w14:paraId="673DC2F2" w14:textId="484DF464" w:rsidR="006A62B6" w:rsidRPr="00432BEF" w:rsidRDefault="006A62B6">
                      <w:pPr>
                        <w:rPr>
                          <w:sz w:val="16"/>
                          <w:szCs w:val="16"/>
                        </w:rPr>
                      </w:pPr>
                      <w:r w:rsidRPr="00432BEF">
                        <w:rPr>
                          <w:sz w:val="16"/>
                          <w:szCs w:val="16"/>
                        </w:rPr>
                        <w:t>Source: ILOSTAT. Note: The vertical axis is set at 24% per cent, the world average trade union density. The horizontal axis is set at 9 per cent, the average female employment share for the sample available.</w:t>
                      </w:r>
                    </w:p>
                  </w:txbxContent>
                </v:textbox>
              </v:shape>
            </w:pict>
          </mc:Fallback>
        </mc:AlternateContent>
      </w:r>
      <w:r w:rsidR="009E64CA" w:rsidRPr="000E0C38">
        <w:rPr>
          <w:rFonts w:ascii="Arial" w:eastAsia="SimSun" w:hAnsi="Arial" w:cs="Arial"/>
          <w:noProof/>
          <w:sz w:val="20"/>
          <w:szCs w:val="20"/>
          <w:lang w:eastAsia="en-GB"/>
        </w:rPr>
        <w:drawing>
          <wp:inline distT="0" distB="0" distL="0" distR="0" wp14:anchorId="23B266BF" wp14:editId="52C91577">
            <wp:extent cx="5958840" cy="2621280"/>
            <wp:effectExtent l="0" t="0" r="3810" b="7620"/>
            <wp:docPr id="8"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0AD096" w14:textId="45FE9540" w:rsidR="00466F23" w:rsidRPr="000E0C38" w:rsidRDefault="00BD0976" w:rsidP="000E0C38">
      <w:pPr>
        <w:spacing w:before="240"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lastRenderedPageBreak/>
        <w:br/>
      </w:r>
      <w:r w:rsidR="00466F23" w:rsidRPr="000E0C38">
        <w:rPr>
          <w:rFonts w:ascii="Arial" w:eastAsia="SimSun" w:hAnsi="Arial" w:cs="Arial"/>
          <w:sz w:val="20"/>
          <w:szCs w:val="20"/>
          <w:lang w:eastAsia="zh-CN"/>
        </w:rPr>
        <w:t>Sierra Leone and South Africa are the DFID countries of focus with the highest union densities recorded: 46.8 and 29.6 per cent respectfully. The other 7 countries for which union density figures are available have lower union density than the world average, 23.7 per cent.</w:t>
      </w:r>
      <w:r w:rsidR="00466F23" w:rsidRPr="000E0C38">
        <w:rPr>
          <w:rFonts w:ascii="Arial" w:eastAsia="SimSun" w:hAnsi="Arial" w:cs="Arial"/>
          <w:sz w:val="20"/>
          <w:szCs w:val="20"/>
          <w:vertAlign w:val="superscript"/>
          <w:lang w:eastAsia="zh-CN"/>
        </w:rPr>
        <w:footnoteReference w:id="76"/>
      </w:r>
      <w:r w:rsidR="00466F23" w:rsidRPr="000E0C38">
        <w:rPr>
          <w:rFonts w:ascii="Arial" w:eastAsia="SimSun" w:hAnsi="Arial" w:cs="Arial"/>
          <w:sz w:val="20"/>
          <w:szCs w:val="20"/>
          <w:lang w:eastAsia="zh-CN"/>
        </w:rPr>
        <w:t xml:space="preserve"> Union density is particularly low in Uganda (1.1 per cent), Malawi (5.5 per cent) and Zambia (5.7 per cent). Union density of DFID countries is positively correlated with the level of economic </w:t>
      </w:r>
      <w:r w:rsidR="00E332E4" w:rsidRPr="000E0C38">
        <w:rPr>
          <w:rFonts w:ascii="Arial" w:eastAsia="SimSun" w:hAnsi="Arial" w:cs="Arial"/>
          <w:sz w:val="20"/>
          <w:szCs w:val="20"/>
          <w:lang w:eastAsia="zh-CN"/>
        </w:rPr>
        <w:t>output</w:t>
      </w:r>
      <w:r w:rsidR="00466F23" w:rsidRPr="000E0C38">
        <w:rPr>
          <w:rFonts w:ascii="Arial" w:eastAsia="SimSun" w:hAnsi="Arial" w:cs="Arial"/>
          <w:sz w:val="20"/>
          <w:szCs w:val="20"/>
          <w:lang w:eastAsia="zh-CN"/>
        </w:rPr>
        <w:t xml:space="preserve"> (GDP per capita) (0.30). This means that the </w:t>
      </w:r>
      <w:r w:rsidR="00E332E4" w:rsidRPr="000E0C38">
        <w:rPr>
          <w:rFonts w:ascii="Arial" w:eastAsia="SimSun" w:hAnsi="Arial" w:cs="Arial"/>
          <w:sz w:val="20"/>
          <w:szCs w:val="20"/>
          <w:lang w:eastAsia="zh-CN"/>
        </w:rPr>
        <w:t>richer</w:t>
      </w:r>
      <w:r w:rsidR="00466F23" w:rsidRPr="000E0C38">
        <w:rPr>
          <w:rFonts w:ascii="Arial" w:eastAsia="SimSun" w:hAnsi="Arial" w:cs="Arial"/>
          <w:sz w:val="20"/>
          <w:szCs w:val="20"/>
          <w:lang w:eastAsia="zh-CN"/>
        </w:rPr>
        <w:t xml:space="preserve"> a country is</w:t>
      </w:r>
      <w:r w:rsidR="00E332E4" w:rsidRPr="000E0C38">
        <w:rPr>
          <w:rFonts w:ascii="Arial" w:eastAsia="SimSun" w:hAnsi="Arial" w:cs="Arial"/>
          <w:sz w:val="20"/>
          <w:szCs w:val="20"/>
          <w:lang w:eastAsia="zh-CN"/>
        </w:rPr>
        <w:t xml:space="preserve"> (in output terms)</w:t>
      </w:r>
      <w:r w:rsidR="00466F23" w:rsidRPr="000E0C38">
        <w:rPr>
          <w:rFonts w:ascii="Arial" w:eastAsia="SimSun" w:hAnsi="Arial" w:cs="Arial"/>
          <w:sz w:val="20"/>
          <w:szCs w:val="20"/>
          <w:lang w:eastAsia="zh-CN"/>
        </w:rPr>
        <w:t>, the higher union density it will likely have. Union density is also positively correlated with female participation in the sector (0</w:t>
      </w:r>
      <w:r w:rsidRPr="000E0C38">
        <w:rPr>
          <w:rFonts w:ascii="Arial" w:eastAsia="SimSun" w:hAnsi="Arial" w:cs="Arial"/>
          <w:sz w:val="20"/>
          <w:szCs w:val="20"/>
          <w:lang w:eastAsia="zh-CN"/>
        </w:rPr>
        <w:t>.</w:t>
      </w:r>
      <w:r w:rsidR="00466F23" w:rsidRPr="000E0C38">
        <w:rPr>
          <w:rFonts w:ascii="Arial" w:eastAsia="SimSun" w:hAnsi="Arial" w:cs="Arial"/>
          <w:sz w:val="20"/>
          <w:szCs w:val="20"/>
          <w:lang w:eastAsia="zh-CN"/>
        </w:rPr>
        <w:t>66). On the other hand, high levels of informal and casual worker and micro-enterprises</w:t>
      </w:r>
      <w:r w:rsidR="00E332E4" w:rsidRPr="000E0C38">
        <w:rPr>
          <w:rFonts w:ascii="Arial" w:eastAsia="SimSun" w:hAnsi="Arial" w:cs="Arial"/>
          <w:sz w:val="20"/>
          <w:szCs w:val="20"/>
          <w:lang w:eastAsia="zh-CN"/>
        </w:rPr>
        <w:t xml:space="preserve"> are associated with low</w:t>
      </w:r>
      <w:r w:rsidR="00466F23" w:rsidRPr="000E0C38">
        <w:rPr>
          <w:rFonts w:ascii="Arial" w:eastAsia="SimSun" w:hAnsi="Arial" w:cs="Arial"/>
          <w:sz w:val="20"/>
          <w:szCs w:val="20"/>
          <w:lang w:eastAsia="zh-CN"/>
        </w:rPr>
        <w:t>er levels of union density.</w:t>
      </w:r>
    </w:p>
    <w:p w14:paraId="1EF0D3ED" w14:textId="3BC05352" w:rsidR="008632F2" w:rsidRPr="000E0C38" w:rsidRDefault="005F5F5A"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Economy-wide c</w:t>
      </w:r>
      <w:r w:rsidR="008632F2" w:rsidRPr="000E0C38">
        <w:rPr>
          <w:rFonts w:ascii="Arial" w:eastAsia="SimSun" w:hAnsi="Arial" w:cs="Arial"/>
          <w:sz w:val="20"/>
          <w:szCs w:val="20"/>
          <w:lang w:eastAsia="zh-CN"/>
        </w:rPr>
        <w:t>ollective bargaining coverage</w:t>
      </w:r>
      <w:r w:rsidR="008632F2" w:rsidRPr="000E0C38">
        <w:rPr>
          <w:rFonts w:ascii="Arial" w:eastAsia="SimSun" w:hAnsi="Arial" w:cs="Arial"/>
          <w:sz w:val="20"/>
          <w:szCs w:val="20"/>
          <w:vertAlign w:val="superscript"/>
          <w:lang w:eastAsia="zh-CN"/>
        </w:rPr>
        <w:footnoteReference w:id="77"/>
      </w:r>
      <w:r w:rsidR="008632F2" w:rsidRPr="000E0C38">
        <w:rPr>
          <w:rFonts w:ascii="Arial" w:eastAsia="SimSun" w:hAnsi="Arial" w:cs="Arial"/>
          <w:sz w:val="20"/>
          <w:szCs w:val="20"/>
          <w:lang w:eastAsia="zh-CN"/>
        </w:rPr>
        <w:t xml:space="preserve"> also differs widely among DFID countries of focus.</w:t>
      </w:r>
      <w:r w:rsidR="00044A67" w:rsidRPr="000E0C38">
        <w:rPr>
          <w:rFonts w:ascii="Arial" w:eastAsia="SimSun" w:hAnsi="Arial" w:cs="Arial"/>
          <w:sz w:val="20"/>
          <w:szCs w:val="20"/>
          <w:lang w:eastAsia="zh-CN"/>
        </w:rPr>
        <w:t xml:space="preserve"> The collective bargaining coverage rate conveys the number of employees whose pay and / or conditions of employment are determined by one or more collective agreement(s) as a percentage of the total number of employees. Data is only available for </w:t>
      </w:r>
      <w:r w:rsidR="00563705" w:rsidRPr="000E0C38">
        <w:rPr>
          <w:rFonts w:ascii="Arial" w:eastAsia="SimSun" w:hAnsi="Arial" w:cs="Arial"/>
          <w:sz w:val="20"/>
          <w:szCs w:val="20"/>
          <w:lang w:eastAsia="zh-CN"/>
        </w:rPr>
        <w:t>five</w:t>
      </w:r>
      <w:r w:rsidR="00044A67" w:rsidRPr="000E0C38">
        <w:rPr>
          <w:rFonts w:ascii="Arial" w:eastAsia="SimSun" w:hAnsi="Arial" w:cs="Arial"/>
          <w:sz w:val="20"/>
          <w:szCs w:val="20"/>
          <w:lang w:eastAsia="zh-CN"/>
        </w:rPr>
        <w:t xml:space="preserve"> of DFIDs countries of focus (see </w:t>
      </w:r>
      <w:r w:rsidR="00563705" w:rsidRPr="000E0C38">
        <w:rPr>
          <w:rFonts w:ascii="Arial" w:eastAsia="SimSun" w:hAnsi="Arial" w:cs="Arial"/>
          <w:sz w:val="20"/>
          <w:szCs w:val="20"/>
          <w:lang w:eastAsia="zh-CN"/>
        </w:rPr>
        <w:t>F</w:t>
      </w:r>
      <w:r w:rsidR="00044A67" w:rsidRPr="000E0C38">
        <w:rPr>
          <w:rFonts w:ascii="Arial" w:eastAsia="SimSun" w:hAnsi="Arial" w:cs="Arial"/>
          <w:sz w:val="20"/>
          <w:szCs w:val="20"/>
          <w:lang w:eastAsia="zh-CN"/>
        </w:rPr>
        <w:t xml:space="preserve">igure </w:t>
      </w:r>
      <w:r w:rsidR="00563705" w:rsidRPr="000E0C38">
        <w:rPr>
          <w:rFonts w:ascii="Arial" w:eastAsia="SimSun" w:hAnsi="Arial" w:cs="Arial"/>
          <w:sz w:val="20"/>
          <w:szCs w:val="20"/>
          <w:lang w:eastAsia="zh-CN"/>
        </w:rPr>
        <w:t>7</w:t>
      </w:r>
      <w:r w:rsidR="00044A67" w:rsidRPr="000E0C38">
        <w:rPr>
          <w:rFonts w:ascii="Arial" w:eastAsia="SimSun" w:hAnsi="Arial" w:cs="Arial"/>
          <w:sz w:val="20"/>
          <w:szCs w:val="20"/>
          <w:lang w:eastAsia="zh-CN"/>
        </w:rPr>
        <w:t xml:space="preserve">). </w:t>
      </w:r>
      <w:r w:rsidR="008632F2" w:rsidRPr="000E0C38">
        <w:rPr>
          <w:rFonts w:ascii="Arial" w:eastAsia="SimSun" w:hAnsi="Arial" w:cs="Arial"/>
          <w:sz w:val="20"/>
          <w:szCs w:val="20"/>
          <w:lang w:eastAsia="zh-CN"/>
        </w:rPr>
        <w:t>In Sierra Leone and South Africa, 46</w:t>
      </w:r>
      <w:r w:rsidR="00F55167" w:rsidRPr="000E0C38">
        <w:rPr>
          <w:rFonts w:ascii="Arial" w:eastAsia="SimSun" w:hAnsi="Arial" w:cs="Arial"/>
          <w:sz w:val="20"/>
          <w:szCs w:val="20"/>
          <w:lang w:eastAsia="zh-CN"/>
        </w:rPr>
        <w:t>.</w:t>
      </w:r>
      <w:r w:rsidR="008632F2" w:rsidRPr="000E0C38">
        <w:rPr>
          <w:rFonts w:ascii="Arial" w:eastAsia="SimSun" w:hAnsi="Arial" w:cs="Arial"/>
          <w:sz w:val="20"/>
          <w:szCs w:val="20"/>
          <w:lang w:eastAsia="zh-CN"/>
        </w:rPr>
        <w:t xml:space="preserve">8 and 32.6 per cent of workers are covered by at least one collective agreement. However, only 0.8 and 5 per cent of workers in Ethiopia and Bangladesh are covered by at least one collective agreement. In </w:t>
      </w:r>
      <w:r w:rsidR="00B11C23" w:rsidRPr="000E0C38">
        <w:rPr>
          <w:rFonts w:ascii="Arial" w:eastAsia="SimSun" w:hAnsi="Arial" w:cs="Arial"/>
          <w:sz w:val="20"/>
          <w:szCs w:val="20"/>
          <w:lang w:eastAsia="zh-CN"/>
        </w:rPr>
        <w:t>Malawi,</w:t>
      </w:r>
      <w:r w:rsidR="008632F2" w:rsidRPr="000E0C38">
        <w:rPr>
          <w:rFonts w:ascii="Arial" w:eastAsia="SimSun" w:hAnsi="Arial" w:cs="Arial"/>
          <w:sz w:val="20"/>
          <w:szCs w:val="20"/>
          <w:lang w:eastAsia="zh-CN"/>
        </w:rPr>
        <w:t xml:space="preserve"> the collective bargaining coverage rate is 18</w:t>
      </w:r>
      <w:r w:rsidR="00F55167" w:rsidRPr="000E0C38">
        <w:rPr>
          <w:rFonts w:ascii="Arial" w:eastAsia="SimSun" w:hAnsi="Arial" w:cs="Arial"/>
          <w:sz w:val="20"/>
          <w:szCs w:val="20"/>
          <w:lang w:eastAsia="zh-CN"/>
        </w:rPr>
        <w:t>.</w:t>
      </w:r>
      <w:r w:rsidR="008632F2" w:rsidRPr="000E0C38">
        <w:rPr>
          <w:rFonts w:ascii="Arial" w:eastAsia="SimSun" w:hAnsi="Arial" w:cs="Arial"/>
          <w:sz w:val="20"/>
          <w:szCs w:val="20"/>
          <w:lang w:eastAsia="zh-CN"/>
        </w:rPr>
        <w:t>1 per cent.</w:t>
      </w:r>
      <w:r w:rsidRPr="000E0C38">
        <w:rPr>
          <w:rFonts w:ascii="Arial" w:eastAsia="SimSun" w:hAnsi="Arial" w:cs="Arial"/>
          <w:sz w:val="20"/>
          <w:szCs w:val="20"/>
          <w:lang w:eastAsia="zh-CN"/>
        </w:rPr>
        <w:t xml:space="preserve"> Wider collective bargaining coverage is associated generally with economic development</w:t>
      </w:r>
      <w:r w:rsidR="006A1040"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ur</w:t>
      </w:r>
      <w:r w:rsidR="006A1040" w:rsidRPr="000E0C38">
        <w:rPr>
          <w:rFonts w:ascii="Arial" w:eastAsia="SimSun" w:hAnsi="Arial" w:cs="Arial"/>
          <w:sz w:val="20"/>
          <w:szCs w:val="20"/>
          <w:lang w:eastAsia="zh-CN"/>
        </w:rPr>
        <w:t xml:space="preserve">banization, higher union density, and higher government intervention. </w:t>
      </w:r>
    </w:p>
    <w:p w14:paraId="17FEDEE0" w14:textId="5C494708" w:rsidR="009E64CA" w:rsidRPr="000E0C38" w:rsidRDefault="003B5B06">
      <w:pPr>
        <w:pStyle w:val="Caption"/>
        <w:keepNext/>
        <w:spacing w:after="0"/>
        <w:jc w:val="both"/>
        <w:rPr>
          <w:b/>
          <w:sz w:val="20"/>
        </w:rPr>
      </w:pPr>
      <w:bookmarkStart w:id="27" w:name="_Ref492396605"/>
      <w:r w:rsidRPr="000E0C38">
        <w:rPr>
          <w:b/>
          <w:sz w:val="20"/>
          <w:szCs w:val="24"/>
        </w:rPr>
        <w:t xml:space="preserve">Figure </w:t>
      </w:r>
      <w:r w:rsidR="00226ED7" w:rsidRPr="000E0C38">
        <w:rPr>
          <w:b/>
          <w:sz w:val="20"/>
          <w:szCs w:val="24"/>
        </w:rPr>
        <w:fldChar w:fldCharType="begin"/>
      </w:r>
      <w:r w:rsidRPr="000E0C38">
        <w:rPr>
          <w:b/>
          <w:sz w:val="20"/>
          <w:szCs w:val="24"/>
        </w:rPr>
        <w:instrText xml:space="preserve"> SEQ Figure \* ARABIC </w:instrText>
      </w:r>
      <w:r w:rsidR="00226ED7" w:rsidRPr="000E0C38">
        <w:rPr>
          <w:b/>
          <w:sz w:val="20"/>
          <w:szCs w:val="24"/>
        </w:rPr>
        <w:fldChar w:fldCharType="separate"/>
      </w:r>
      <w:r w:rsidR="001A6968" w:rsidRPr="000E0C38">
        <w:rPr>
          <w:b/>
          <w:sz w:val="20"/>
          <w:szCs w:val="24"/>
        </w:rPr>
        <w:t>7</w:t>
      </w:r>
      <w:r w:rsidR="00226ED7" w:rsidRPr="000E0C38">
        <w:rPr>
          <w:b/>
          <w:sz w:val="20"/>
          <w:szCs w:val="24"/>
        </w:rPr>
        <w:fldChar w:fldCharType="end"/>
      </w:r>
      <w:bookmarkEnd w:id="27"/>
      <w:r w:rsidRPr="000E0C38">
        <w:rPr>
          <w:b/>
          <w:sz w:val="20"/>
        </w:rPr>
        <w:t xml:space="preserve">: </w:t>
      </w:r>
      <w:r w:rsidRPr="000E0C38">
        <w:rPr>
          <w:rFonts w:eastAsia="SimSun" w:cs="Arial"/>
          <w:b/>
          <w:sz w:val="20"/>
          <w:lang w:eastAsia="zh-CN"/>
        </w:rPr>
        <w:t>Collective bargaining coverage, latest year available</w:t>
      </w:r>
    </w:p>
    <w:p w14:paraId="27B8FE8F" w14:textId="77777777" w:rsidR="008632F2" w:rsidRPr="000E0C38" w:rsidRDefault="009E64CA" w:rsidP="00E332E4">
      <w:pPr>
        <w:spacing w:line="276" w:lineRule="auto"/>
        <w:jc w:val="both"/>
        <w:rPr>
          <w:rFonts w:ascii="Arial" w:eastAsia="SimSun" w:hAnsi="Arial" w:cs="Arial"/>
          <w:sz w:val="20"/>
          <w:szCs w:val="20"/>
          <w:lang w:eastAsia="zh-CN"/>
        </w:rPr>
      </w:pPr>
      <w:r w:rsidRPr="000E0C38">
        <w:rPr>
          <w:rFonts w:ascii="Arial" w:eastAsia="SimSun" w:hAnsi="Arial" w:cs="Arial"/>
          <w:noProof/>
          <w:sz w:val="20"/>
          <w:szCs w:val="20"/>
          <w:lang w:eastAsia="en-GB"/>
        </w:rPr>
        <w:drawing>
          <wp:inline distT="0" distB="0" distL="0" distR="0" wp14:anchorId="76CA55C2" wp14:editId="52098713">
            <wp:extent cx="5981700" cy="2743200"/>
            <wp:effectExtent l="0" t="0" r="0" b="0"/>
            <wp:docPr id="9"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F0A7CDA" w14:textId="77777777" w:rsidR="008632F2" w:rsidRPr="000E0C38" w:rsidRDefault="008632F2" w:rsidP="00E332E4">
      <w:pPr>
        <w:spacing w:after="240" w:line="260" w:lineRule="atLeast"/>
        <w:jc w:val="both"/>
        <w:rPr>
          <w:rFonts w:ascii="Arial" w:eastAsia="SimSun" w:hAnsi="Arial" w:cs="Arial"/>
          <w:sz w:val="16"/>
          <w:szCs w:val="16"/>
          <w:lang w:eastAsia="zh-CN"/>
        </w:rPr>
      </w:pPr>
      <w:r w:rsidRPr="000E0C38">
        <w:rPr>
          <w:rFonts w:ascii="Arial" w:eastAsia="SimSun" w:hAnsi="Arial" w:cs="Arial"/>
          <w:sz w:val="16"/>
          <w:szCs w:val="16"/>
          <w:lang w:eastAsia="zh-CN"/>
        </w:rPr>
        <w:t>Source: ILOSTAT.</w:t>
      </w:r>
    </w:p>
    <w:p w14:paraId="5064AD48" w14:textId="77777777" w:rsidR="008A7357" w:rsidRPr="000E0C38" w:rsidRDefault="008A7357" w:rsidP="008F4768">
      <w:pPr>
        <w:pStyle w:val="BodyText"/>
        <w:spacing w:line="276" w:lineRule="auto"/>
      </w:pPr>
      <w:r w:rsidRPr="000E0C38">
        <w:t xml:space="preserve">The structure of the industry in many DFID countries - a majority of informal and casual workers and micro-enterprises – is not conducive to collective bargaining and union density. DFID </w:t>
      </w:r>
      <w:r w:rsidR="00E332E4" w:rsidRPr="000E0C38">
        <w:t xml:space="preserve">could more usefully </w:t>
      </w:r>
      <w:r w:rsidRPr="000E0C38">
        <w:t>promote social dialogue, associations of informal workers</w:t>
      </w:r>
      <w:r w:rsidR="00E332E4" w:rsidRPr="000E0C38">
        <w:t>, and / or</w:t>
      </w:r>
      <w:r w:rsidRPr="000E0C38">
        <w:t xml:space="preserve"> linkages between formal-informal workers.</w:t>
      </w:r>
    </w:p>
    <w:p w14:paraId="41588730" w14:textId="77777777" w:rsidR="008632F2" w:rsidRPr="000E0C38" w:rsidRDefault="00CA7014" w:rsidP="00F002C9">
      <w:pPr>
        <w:pStyle w:val="Heading1NoSpacing"/>
        <w:framePr w:h="2188" w:hRule="exact" w:wrap="auto"/>
        <w:rPr>
          <w:lang w:eastAsia="zh-CN"/>
        </w:rPr>
      </w:pPr>
      <w:bookmarkStart w:id="28" w:name="_Toc492000453"/>
      <w:bookmarkStart w:id="29" w:name="_Toc498019398"/>
      <w:r w:rsidRPr="000E0C38">
        <w:rPr>
          <w:lang w:eastAsia="zh-CN"/>
        </w:rPr>
        <w:lastRenderedPageBreak/>
        <w:t xml:space="preserve">3 </w:t>
      </w:r>
      <w:r w:rsidR="008632F2" w:rsidRPr="000E0C38">
        <w:rPr>
          <w:lang w:eastAsia="zh-CN"/>
        </w:rPr>
        <w:t>What are the opportunities for</w:t>
      </w:r>
      <w:r w:rsidR="00B01752" w:rsidRPr="000E0C38">
        <w:rPr>
          <w:lang w:eastAsia="zh-CN"/>
        </w:rPr>
        <w:t>/barriers to</w:t>
      </w:r>
      <w:r w:rsidR="008632F2" w:rsidRPr="000E0C38">
        <w:rPr>
          <w:lang w:eastAsia="zh-CN"/>
        </w:rPr>
        <w:t xml:space="preserve"> scaling up quality employment in the construction industry in DFID focus countries</w:t>
      </w:r>
      <w:bookmarkEnd w:id="28"/>
      <w:r w:rsidR="00B01752" w:rsidRPr="000E0C38">
        <w:rPr>
          <w:lang w:eastAsia="zh-CN"/>
        </w:rPr>
        <w:t>?</w:t>
      </w:r>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1EE" w:themeFill="text2" w:themeFillTint="33"/>
        <w:tblLook w:val="04A0" w:firstRow="1" w:lastRow="0" w:firstColumn="1" w:lastColumn="0" w:noHBand="0" w:noVBand="1"/>
      </w:tblPr>
      <w:tblGrid>
        <w:gridCol w:w="9497"/>
      </w:tblGrid>
      <w:tr w:rsidR="004320CA" w:rsidRPr="000E0C38" w14:paraId="1839C140" w14:textId="77777777" w:rsidTr="00432BEF">
        <w:tc>
          <w:tcPr>
            <w:tcW w:w="9713" w:type="dxa"/>
            <w:shd w:val="clear" w:color="auto" w:fill="CBD1EE" w:themeFill="text2" w:themeFillTint="33"/>
          </w:tcPr>
          <w:p w14:paraId="7524CCCE" w14:textId="77777777" w:rsidR="004320CA" w:rsidRPr="000E0C38" w:rsidRDefault="004320CA" w:rsidP="00432BEF">
            <w:pPr>
              <w:pStyle w:val="BodyText"/>
              <w:spacing w:before="120" w:after="120" w:line="276" w:lineRule="auto"/>
              <w:rPr>
                <w:rFonts w:ascii="Times New Roman" w:hAnsi="Times New Roman" w:cs="Times New Roman"/>
                <w:b/>
                <w:i/>
                <w:sz w:val="28"/>
                <w:szCs w:val="24"/>
                <w:lang w:eastAsia="zh-CN"/>
              </w:rPr>
            </w:pPr>
            <w:r w:rsidRPr="000E0C38">
              <w:rPr>
                <w:rFonts w:ascii="Times New Roman" w:hAnsi="Times New Roman" w:cs="Times New Roman"/>
                <w:b/>
                <w:i/>
                <w:sz w:val="28"/>
                <w:szCs w:val="24"/>
                <w:lang w:eastAsia="zh-CN"/>
              </w:rPr>
              <w:t>Key Findings</w:t>
            </w:r>
          </w:p>
          <w:p w14:paraId="1FD1F6D8" w14:textId="34DF8C1C" w:rsidR="004320CA" w:rsidRPr="000E0C38" w:rsidRDefault="004320CA" w:rsidP="00831B36">
            <w:pPr>
              <w:pStyle w:val="BodyText"/>
              <w:numPr>
                <w:ilvl w:val="1"/>
                <w:numId w:val="28"/>
              </w:numPr>
              <w:spacing w:before="120" w:after="0" w:line="276" w:lineRule="auto"/>
              <w:ind w:left="709" w:hanging="283"/>
              <w:rPr>
                <w:szCs w:val="24"/>
                <w:lang w:eastAsia="zh-CN"/>
              </w:rPr>
            </w:pPr>
            <w:r w:rsidRPr="000E0C38">
              <w:rPr>
                <w:szCs w:val="24"/>
                <w:lang w:eastAsia="zh-CN"/>
              </w:rPr>
              <w:t>Potential ways to encourage transition to formality include the adoption of policy instruments facilitating the formalisation of Micro, Small and Medium-sized Enterprises, support workers to organise, including informal and casual ones, build links between trade unions and non-trade unions' organisations, and extend social protection floors</w:t>
            </w:r>
          </w:p>
          <w:p w14:paraId="54F7879F" w14:textId="7F0EE9BB" w:rsidR="004320CA" w:rsidRPr="000E0C38" w:rsidRDefault="004320CA" w:rsidP="00831B36">
            <w:pPr>
              <w:pStyle w:val="BodyText"/>
              <w:numPr>
                <w:ilvl w:val="1"/>
                <w:numId w:val="28"/>
              </w:numPr>
              <w:spacing w:after="0" w:line="276" w:lineRule="auto"/>
              <w:ind w:left="709" w:hanging="283"/>
              <w:rPr>
                <w:szCs w:val="24"/>
                <w:lang w:eastAsia="zh-CN"/>
              </w:rPr>
            </w:pPr>
            <w:r w:rsidRPr="000E0C38">
              <w:rPr>
                <w:szCs w:val="24"/>
                <w:lang w:eastAsia="zh-CN"/>
              </w:rPr>
              <w:t>Improving OSH is essential to scale up quality employment and reduce fatal and non-fatal accidents and diseases related to construction work.</w:t>
            </w:r>
          </w:p>
          <w:p w14:paraId="371ABFB8" w14:textId="7A29A9C9" w:rsidR="004320CA" w:rsidRPr="000E0C38" w:rsidRDefault="004320CA" w:rsidP="00831B36">
            <w:pPr>
              <w:pStyle w:val="BodyText"/>
              <w:numPr>
                <w:ilvl w:val="1"/>
                <w:numId w:val="28"/>
              </w:numPr>
              <w:spacing w:after="0" w:line="276" w:lineRule="auto"/>
              <w:ind w:left="709" w:hanging="283"/>
              <w:rPr>
                <w:szCs w:val="24"/>
                <w:lang w:eastAsia="zh-CN"/>
              </w:rPr>
            </w:pPr>
            <w:r w:rsidRPr="000E0C38">
              <w:rPr>
                <w:szCs w:val="24"/>
                <w:lang w:eastAsia="zh-CN"/>
              </w:rPr>
              <w:t>Potential opportunities for promoting equal access to decent employment for national workers include direct or indirect technical and financial support of inclusive business models and women cooperatives, and promote dialogue with other stakeholders.</w:t>
            </w:r>
          </w:p>
          <w:p w14:paraId="1839D155" w14:textId="2B6371CB" w:rsidR="004320CA" w:rsidRPr="000E0C38" w:rsidRDefault="004320CA" w:rsidP="00831B36">
            <w:pPr>
              <w:pStyle w:val="BodyText"/>
              <w:numPr>
                <w:ilvl w:val="1"/>
                <w:numId w:val="28"/>
              </w:numPr>
              <w:spacing w:after="0" w:line="276" w:lineRule="auto"/>
              <w:ind w:left="709" w:hanging="283"/>
              <w:rPr>
                <w:szCs w:val="24"/>
                <w:lang w:eastAsia="zh-CN"/>
              </w:rPr>
            </w:pPr>
            <w:r w:rsidRPr="000E0C38">
              <w:rPr>
                <w:szCs w:val="24"/>
                <w:lang w:eastAsia="zh-CN"/>
              </w:rPr>
              <w:t>Efforts to eliminate child labour should be directed to the construction supply chain, and specifically to the brick making industry.</w:t>
            </w:r>
          </w:p>
          <w:p w14:paraId="0B24A77B" w14:textId="2B759166" w:rsidR="004320CA" w:rsidRPr="000E0C38" w:rsidRDefault="004320CA" w:rsidP="00831B36">
            <w:pPr>
              <w:pStyle w:val="BodyText"/>
              <w:numPr>
                <w:ilvl w:val="1"/>
                <w:numId w:val="28"/>
              </w:numPr>
              <w:spacing w:after="120" w:line="276" w:lineRule="auto"/>
              <w:ind w:left="709" w:hanging="284"/>
            </w:pPr>
            <w:r w:rsidRPr="000E0C38">
              <w:rPr>
                <w:szCs w:val="24"/>
                <w:lang w:eastAsia="zh-CN"/>
              </w:rPr>
              <w:t>Development and improvement of apprenticeship schemes can help existing barriers to youth assimilation into the labour market.</w:t>
            </w:r>
          </w:p>
        </w:tc>
      </w:tr>
    </w:tbl>
    <w:p w14:paraId="3F95A006" w14:textId="78AA760C" w:rsidR="009E64CA" w:rsidRPr="000E0C38" w:rsidRDefault="008632F2" w:rsidP="00432BEF">
      <w:pPr>
        <w:spacing w:before="240"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This </w:t>
      </w:r>
      <w:r w:rsidR="00F002C9" w:rsidRPr="000E0C38">
        <w:rPr>
          <w:rFonts w:ascii="Arial" w:eastAsia="SimSun" w:hAnsi="Arial" w:cs="Arial"/>
          <w:sz w:val="20"/>
          <w:szCs w:val="20"/>
          <w:lang w:eastAsia="zh-CN"/>
        </w:rPr>
        <w:t>chapter</w:t>
      </w:r>
      <w:r w:rsidRPr="000E0C38">
        <w:rPr>
          <w:rFonts w:ascii="Arial" w:eastAsia="SimSun" w:hAnsi="Arial" w:cs="Arial"/>
          <w:sz w:val="20"/>
          <w:szCs w:val="20"/>
          <w:lang w:eastAsia="zh-CN"/>
        </w:rPr>
        <w:t xml:space="preserve"> identifies </w:t>
      </w:r>
      <w:r w:rsidR="0048484C" w:rsidRPr="000E0C38">
        <w:rPr>
          <w:rFonts w:ascii="Arial" w:eastAsia="SimSun" w:hAnsi="Arial" w:cs="Arial"/>
          <w:sz w:val="20"/>
          <w:szCs w:val="20"/>
          <w:lang w:eastAsia="zh-CN"/>
        </w:rPr>
        <w:t xml:space="preserve">the </w:t>
      </w:r>
      <w:r w:rsidR="00D91E55" w:rsidRPr="000E0C38">
        <w:rPr>
          <w:rFonts w:ascii="Arial" w:eastAsia="SimSun" w:hAnsi="Arial" w:cs="Arial"/>
          <w:sz w:val="20"/>
          <w:szCs w:val="20"/>
          <w:lang w:eastAsia="zh-CN"/>
        </w:rPr>
        <w:t xml:space="preserve">types of programming </w:t>
      </w:r>
      <w:r w:rsidR="00FD41C1" w:rsidRPr="000E0C38">
        <w:rPr>
          <w:rFonts w:ascii="Arial" w:eastAsia="SimSun" w:hAnsi="Arial" w:cs="Arial"/>
          <w:sz w:val="20"/>
          <w:szCs w:val="20"/>
          <w:lang w:eastAsia="zh-CN"/>
        </w:rPr>
        <w:t xml:space="preserve">opportunities for </w:t>
      </w:r>
      <w:r w:rsidR="0048484C" w:rsidRPr="000E0C38">
        <w:rPr>
          <w:rFonts w:ascii="Arial" w:eastAsia="SimSun" w:hAnsi="Arial" w:cs="Arial"/>
          <w:sz w:val="20"/>
          <w:szCs w:val="20"/>
          <w:lang w:eastAsia="zh-CN"/>
        </w:rPr>
        <w:t xml:space="preserve">scaling up </w:t>
      </w:r>
      <w:r w:rsidRPr="000E0C38">
        <w:rPr>
          <w:rFonts w:ascii="Arial" w:eastAsia="SimSun" w:hAnsi="Arial" w:cs="Arial"/>
          <w:sz w:val="20"/>
          <w:szCs w:val="20"/>
          <w:lang w:eastAsia="zh-CN"/>
        </w:rPr>
        <w:t xml:space="preserve">quality construction employment </w:t>
      </w:r>
      <w:r w:rsidR="00CA7014" w:rsidRPr="000E0C38">
        <w:rPr>
          <w:rFonts w:ascii="Arial" w:eastAsia="SimSun" w:hAnsi="Arial" w:cs="Arial"/>
          <w:sz w:val="20"/>
          <w:szCs w:val="20"/>
          <w:lang w:eastAsia="zh-CN"/>
        </w:rPr>
        <w:t>for workers resident in DFID foc</w:t>
      </w:r>
      <w:r w:rsidR="00F55167" w:rsidRPr="000E0C38">
        <w:rPr>
          <w:rFonts w:ascii="Arial" w:eastAsia="SimSun" w:hAnsi="Arial" w:cs="Arial"/>
          <w:sz w:val="20"/>
          <w:szCs w:val="20"/>
          <w:lang w:eastAsia="zh-CN"/>
        </w:rPr>
        <w:t>u</w:t>
      </w:r>
      <w:r w:rsidR="00CA7014" w:rsidRPr="000E0C38">
        <w:rPr>
          <w:rFonts w:ascii="Arial" w:eastAsia="SimSun" w:hAnsi="Arial" w:cs="Arial"/>
          <w:sz w:val="20"/>
          <w:szCs w:val="20"/>
          <w:lang w:eastAsia="zh-CN"/>
        </w:rPr>
        <w:t>s countr</w:t>
      </w:r>
      <w:r w:rsidR="00F55167" w:rsidRPr="000E0C38">
        <w:rPr>
          <w:rFonts w:ascii="Arial" w:eastAsia="SimSun" w:hAnsi="Arial" w:cs="Arial"/>
          <w:sz w:val="20"/>
          <w:szCs w:val="20"/>
          <w:lang w:eastAsia="zh-CN"/>
        </w:rPr>
        <w:t>ies</w:t>
      </w:r>
      <w:r w:rsidR="00CA7014" w:rsidRPr="000E0C38">
        <w:rPr>
          <w:rFonts w:ascii="Arial" w:eastAsia="SimSun" w:hAnsi="Arial" w:cs="Arial"/>
          <w:sz w:val="20"/>
          <w:szCs w:val="20"/>
          <w:lang w:eastAsia="zh-CN"/>
        </w:rPr>
        <w:t>/region</w:t>
      </w:r>
      <w:r w:rsidR="00F55167" w:rsidRPr="000E0C38">
        <w:rPr>
          <w:rFonts w:ascii="Arial" w:eastAsia="SimSun" w:hAnsi="Arial" w:cs="Arial"/>
          <w:sz w:val="20"/>
          <w:szCs w:val="20"/>
          <w:lang w:eastAsia="zh-CN"/>
        </w:rPr>
        <w:t>s</w:t>
      </w:r>
      <w:r w:rsidR="00D91E55"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w:t>
      </w:r>
      <w:r w:rsidR="00232CBB" w:rsidRPr="000E0C38">
        <w:rPr>
          <w:rFonts w:ascii="Arial" w:eastAsia="SimSun" w:hAnsi="Arial" w:cs="Arial"/>
          <w:sz w:val="20"/>
          <w:szCs w:val="20"/>
          <w:lang w:eastAsia="zh-CN"/>
        </w:rPr>
        <w:t xml:space="preserve">Interventions promoting decent work </w:t>
      </w:r>
      <w:r w:rsidR="00D91E55" w:rsidRPr="000E0C38">
        <w:rPr>
          <w:rFonts w:ascii="Arial" w:eastAsia="SimSun" w:hAnsi="Arial" w:cs="Arial"/>
          <w:sz w:val="20"/>
          <w:szCs w:val="20"/>
          <w:lang w:eastAsia="zh-CN"/>
        </w:rPr>
        <w:t xml:space="preserve">exist in </w:t>
      </w:r>
      <w:r w:rsidR="00232CBB" w:rsidRPr="000E0C38">
        <w:rPr>
          <w:rFonts w:ascii="Arial" w:eastAsia="SimSun" w:hAnsi="Arial" w:cs="Arial"/>
          <w:sz w:val="20"/>
          <w:szCs w:val="20"/>
          <w:lang w:eastAsia="zh-CN"/>
        </w:rPr>
        <w:t>all countries</w:t>
      </w:r>
      <w:r w:rsidR="00D91E55" w:rsidRPr="000E0C38">
        <w:rPr>
          <w:rFonts w:ascii="Arial" w:eastAsia="SimSun" w:hAnsi="Arial" w:cs="Arial"/>
          <w:sz w:val="20"/>
          <w:szCs w:val="20"/>
          <w:lang w:eastAsia="zh-CN"/>
        </w:rPr>
        <w:t xml:space="preserve">, but the chapter discusses where impact might be greatest based on the current market and governance profile.  These </w:t>
      </w:r>
      <w:r w:rsidR="006246A5" w:rsidRPr="000E0C38">
        <w:rPr>
          <w:rFonts w:ascii="Arial" w:eastAsia="SimSun" w:hAnsi="Arial" w:cs="Arial"/>
          <w:sz w:val="20"/>
          <w:szCs w:val="20"/>
          <w:lang w:eastAsia="zh-CN"/>
        </w:rPr>
        <w:t>reflect policy recommendations from a global construction policy dialogue (in which governments, and employer and worker representatives took part), approved by the Governing Body of the ILO.</w:t>
      </w:r>
      <w:r w:rsidR="006246A5" w:rsidRPr="000E0C38">
        <w:rPr>
          <w:rFonts w:ascii="Arial" w:eastAsia="SimSun" w:hAnsi="Arial" w:cs="Arial"/>
          <w:sz w:val="20"/>
          <w:szCs w:val="20"/>
          <w:vertAlign w:val="superscript"/>
          <w:lang w:eastAsia="zh-CN"/>
        </w:rPr>
        <w:footnoteReference w:id="78"/>
      </w:r>
      <w:r w:rsidR="00563705" w:rsidRPr="000E0C38">
        <w:rPr>
          <w:rFonts w:ascii="Arial" w:eastAsia="SimSun" w:hAnsi="Arial" w:cs="Arial"/>
          <w:sz w:val="20"/>
          <w:szCs w:val="20"/>
          <w:lang w:eastAsia="zh-CN"/>
        </w:rPr>
        <w:t xml:space="preserve"> </w:t>
      </w:r>
      <w:r w:rsidR="00D91E55" w:rsidRPr="000E0C38">
        <w:rPr>
          <w:rFonts w:ascii="Arial" w:eastAsia="SimSun" w:hAnsi="Arial" w:cs="Arial"/>
          <w:sz w:val="20"/>
          <w:szCs w:val="20"/>
          <w:lang w:eastAsia="zh-CN"/>
        </w:rPr>
        <w:t xml:space="preserve">The chapter </w:t>
      </w:r>
      <w:r w:rsidR="00B01752" w:rsidRPr="000E0C38">
        <w:rPr>
          <w:rFonts w:ascii="Arial" w:eastAsia="SimSun" w:hAnsi="Arial" w:cs="Arial"/>
          <w:sz w:val="20"/>
          <w:szCs w:val="20"/>
          <w:lang w:eastAsia="zh-CN"/>
        </w:rPr>
        <w:t xml:space="preserve">concludes by reviewing </w:t>
      </w:r>
      <w:r w:rsidR="00D91E55" w:rsidRPr="000E0C38">
        <w:rPr>
          <w:rFonts w:ascii="Arial" w:eastAsia="SimSun" w:hAnsi="Arial" w:cs="Arial"/>
          <w:sz w:val="20"/>
          <w:szCs w:val="20"/>
          <w:lang w:eastAsia="zh-CN"/>
        </w:rPr>
        <w:t xml:space="preserve">potential barriers </w:t>
      </w:r>
      <w:r w:rsidR="00B01752" w:rsidRPr="000E0C38">
        <w:rPr>
          <w:rFonts w:ascii="Arial" w:eastAsia="SimSun" w:hAnsi="Arial" w:cs="Arial"/>
          <w:sz w:val="20"/>
          <w:szCs w:val="20"/>
          <w:lang w:eastAsia="zh-CN"/>
        </w:rPr>
        <w:t xml:space="preserve">to successful programme implementation </w:t>
      </w:r>
      <w:r w:rsidR="00D91E55" w:rsidRPr="000E0C38">
        <w:rPr>
          <w:rFonts w:ascii="Arial" w:eastAsia="SimSun" w:hAnsi="Arial" w:cs="Arial"/>
          <w:sz w:val="20"/>
          <w:szCs w:val="20"/>
          <w:lang w:eastAsia="zh-CN"/>
        </w:rPr>
        <w:t>(market and political economy) and explores how different programmes have engaged to overcome these.</w:t>
      </w:r>
    </w:p>
    <w:p w14:paraId="6A28D9A6" w14:textId="0A33515F" w:rsidR="006D43A0" w:rsidRPr="000E0C38" w:rsidRDefault="00593181" w:rsidP="00991DB7">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S</w:t>
      </w:r>
      <w:r w:rsidR="00B01752" w:rsidRPr="000E0C38">
        <w:rPr>
          <w:rFonts w:ascii="Arial" w:eastAsia="SimSun" w:hAnsi="Arial" w:cs="Arial"/>
          <w:sz w:val="20"/>
          <w:szCs w:val="20"/>
          <w:lang w:eastAsia="zh-CN"/>
        </w:rPr>
        <w:t>everal</w:t>
      </w:r>
      <w:r w:rsidR="00FE47F2" w:rsidRPr="000E0C38">
        <w:rPr>
          <w:rFonts w:ascii="Arial" w:eastAsia="SimSun" w:hAnsi="Arial" w:cs="Arial"/>
          <w:sz w:val="20"/>
          <w:szCs w:val="20"/>
          <w:lang w:eastAsia="zh-CN"/>
        </w:rPr>
        <w:t xml:space="preserve"> </w:t>
      </w:r>
      <w:r w:rsidR="006246A5" w:rsidRPr="000E0C38">
        <w:rPr>
          <w:rFonts w:ascii="Arial" w:eastAsia="SimSun" w:hAnsi="Arial" w:cs="Arial"/>
          <w:sz w:val="20"/>
          <w:szCs w:val="20"/>
          <w:lang w:eastAsia="zh-CN"/>
        </w:rPr>
        <w:t xml:space="preserve">programming </w:t>
      </w:r>
      <w:r w:rsidR="00FE47F2" w:rsidRPr="000E0C38">
        <w:rPr>
          <w:rFonts w:ascii="Arial" w:eastAsia="SimSun" w:hAnsi="Arial" w:cs="Arial"/>
          <w:sz w:val="20"/>
          <w:szCs w:val="20"/>
          <w:lang w:eastAsia="zh-CN"/>
        </w:rPr>
        <w:t>priorities can be identified to address the challenges set out in Chapter 2, each of which may be of differing importance dependent on the market</w:t>
      </w:r>
      <w:r w:rsidR="00FD41C1" w:rsidRPr="000E0C38">
        <w:rPr>
          <w:rFonts w:ascii="Arial" w:eastAsia="SimSun" w:hAnsi="Arial" w:cs="Arial"/>
          <w:sz w:val="20"/>
          <w:szCs w:val="20"/>
          <w:lang w:eastAsia="zh-CN"/>
        </w:rPr>
        <w:t xml:space="preserve"> dynamics of the country. </w:t>
      </w:r>
      <w:r w:rsidR="00FE47F2" w:rsidRPr="000E0C38">
        <w:rPr>
          <w:rFonts w:ascii="Arial" w:eastAsia="SimSun" w:hAnsi="Arial" w:cs="Arial"/>
          <w:sz w:val="20"/>
          <w:szCs w:val="20"/>
          <w:lang w:eastAsia="zh-CN"/>
        </w:rPr>
        <w:t>These are</w:t>
      </w:r>
      <w:r w:rsidR="00FD41C1" w:rsidRPr="000E0C38">
        <w:rPr>
          <w:rFonts w:ascii="Arial" w:eastAsia="SimSun" w:hAnsi="Arial" w:cs="Arial"/>
          <w:sz w:val="20"/>
          <w:szCs w:val="20"/>
          <w:lang w:eastAsia="zh-CN"/>
        </w:rPr>
        <w:t>:</w:t>
      </w:r>
    </w:p>
    <w:p w14:paraId="3C329C7B" w14:textId="466AE025" w:rsidR="009E64CA" w:rsidRPr="000E0C38" w:rsidRDefault="00FD41C1" w:rsidP="00831B36">
      <w:pPr>
        <w:numPr>
          <w:ilvl w:val="0"/>
          <w:numId w:val="16"/>
        </w:numPr>
        <w:spacing w:line="276" w:lineRule="auto"/>
        <w:ind w:left="426" w:hanging="426"/>
        <w:jc w:val="both"/>
        <w:rPr>
          <w:rFonts w:ascii="Arial" w:eastAsia="SimSun" w:hAnsi="Arial" w:cs="Arial"/>
          <w:sz w:val="20"/>
          <w:szCs w:val="20"/>
          <w:lang w:eastAsia="zh-CN"/>
        </w:rPr>
      </w:pPr>
      <w:r w:rsidRPr="000E0C38">
        <w:rPr>
          <w:rFonts w:ascii="Arial" w:eastAsia="SimSun" w:hAnsi="Arial" w:cs="Arial"/>
          <w:b/>
          <w:i/>
          <w:sz w:val="20"/>
          <w:szCs w:val="20"/>
          <w:lang w:eastAsia="zh-CN"/>
        </w:rPr>
        <w:t>Interventions that support t</w:t>
      </w:r>
      <w:r w:rsidR="008632F2" w:rsidRPr="000E0C38">
        <w:rPr>
          <w:rFonts w:ascii="Arial" w:eastAsia="SimSun" w:hAnsi="Arial" w:cs="Arial"/>
          <w:b/>
          <w:i/>
          <w:sz w:val="20"/>
          <w:szCs w:val="20"/>
          <w:lang w:eastAsia="zh-CN"/>
        </w:rPr>
        <w:t xml:space="preserve">ransitioning to formality </w:t>
      </w:r>
      <w:r w:rsidR="00EF13DE" w:rsidRPr="000E0C38">
        <w:rPr>
          <w:rFonts w:ascii="Arial" w:eastAsia="SimSun" w:hAnsi="Arial" w:cs="Arial"/>
          <w:b/>
          <w:i/>
          <w:sz w:val="20"/>
          <w:szCs w:val="20"/>
          <w:lang w:eastAsia="zh-CN"/>
        </w:rPr>
        <w:t xml:space="preserve">so that workers are sufficiently </w:t>
      </w:r>
      <w:r w:rsidRPr="000E0C38">
        <w:rPr>
          <w:rFonts w:ascii="Arial" w:eastAsia="SimSun" w:hAnsi="Arial" w:cs="Arial"/>
          <w:b/>
          <w:i/>
          <w:sz w:val="20"/>
          <w:szCs w:val="20"/>
          <w:lang w:eastAsia="zh-CN"/>
        </w:rPr>
        <w:t>(in law and</w:t>
      </w:r>
      <w:r w:rsidR="00EF13DE" w:rsidRPr="000E0C38">
        <w:rPr>
          <w:rFonts w:ascii="Arial" w:eastAsia="SimSun" w:hAnsi="Arial" w:cs="Arial"/>
          <w:b/>
          <w:i/>
          <w:sz w:val="20"/>
          <w:szCs w:val="20"/>
          <w:lang w:eastAsia="zh-CN"/>
        </w:rPr>
        <w:t xml:space="preserve"> in practice</w:t>
      </w:r>
      <w:r w:rsidRPr="000E0C38">
        <w:rPr>
          <w:rFonts w:ascii="Arial" w:eastAsia="SimSun" w:hAnsi="Arial" w:cs="Arial"/>
          <w:b/>
          <w:i/>
          <w:sz w:val="20"/>
          <w:szCs w:val="20"/>
          <w:lang w:eastAsia="zh-CN"/>
        </w:rPr>
        <w:t>)</w:t>
      </w:r>
      <w:r w:rsidR="00EF13DE" w:rsidRPr="000E0C38">
        <w:rPr>
          <w:rFonts w:ascii="Arial" w:eastAsia="SimSun" w:hAnsi="Arial" w:cs="Arial"/>
          <w:b/>
          <w:i/>
          <w:sz w:val="20"/>
          <w:szCs w:val="20"/>
          <w:lang w:eastAsia="zh-CN"/>
        </w:rPr>
        <w:t xml:space="preserve"> covered by formal arrangements (e.g. written contracts)</w:t>
      </w:r>
      <w:r w:rsidRPr="000E0C38">
        <w:rPr>
          <w:rFonts w:ascii="Arial" w:eastAsia="SimSun" w:hAnsi="Arial" w:cs="Arial"/>
          <w:b/>
          <w:i/>
          <w:sz w:val="20"/>
          <w:szCs w:val="20"/>
          <w:lang w:eastAsia="zh-CN"/>
        </w:rPr>
        <w:t>.</w:t>
      </w:r>
      <w:r w:rsidR="00EF13DE"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 xml:space="preserve">This </w:t>
      </w:r>
      <w:r w:rsidR="008632F2" w:rsidRPr="000E0C38">
        <w:rPr>
          <w:rFonts w:ascii="Arial" w:eastAsia="SimSun" w:hAnsi="Arial" w:cs="Arial"/>
          <w:sz w:val="20"/>
          <w:szCs w:val="20"/>
          <w:lang w:eastAsia="zh-CN"/>
        </w:rPr>
        <w:t>would make sense in</w:t>
      </w:r>
      <w:r w:rsidR="00EF13DE" w:rsidRPr="000E0C38">
        <w:rPr>
          <w:rFonts w:ascii="Arial" w:eastAsia="SimSun" w:hAnsi="Arial" w:cs="Arial"/>
          <w:sz w:val="20"/>
          <w:szCs w:val="20"/>
          <w:lang w:eastAsia="zh-CN"/>
        </w:rPr>
        <w:t xml:space="preserve"> countries with large informal sectors and large expected </w:t>
      </w:r>
      <w:r w:rsidRPr="000E0C38">
        <w:rPr>
          <w:rFonts w:ascii="Arial" w:eastAsia="SimSun" w:hAnsi="Arial" w:cs="Arial"/>
          <w:sz w:val="20"/>
          <w:szCs w:val="20"/>
          <w:lang w:eastAsia="zh-CN"/>
        </w:rPr>
        <w:t>employment growth.</w:t>
      </w:r>
      <w:r w:rsidR="009809C2" w:rsidRPr="000E0C38">
        <w:rPr>
          <w:rFonts w:ascii="Arial" w:eastAsia="SimSun" w:hAnsi="Arial" w:cs="Arial"/>
          <w:sz w:val="20"/>
          <w:szCs w:val="20"/>
          <w:lang w:eastAsia="zh-CN"/>
        </w:rPr>
        <w:t xml:space="preserve"> E.g.</w:t>
      </w:r>
      <w:r w:rsidRPr="000E0C38">
        <w:rPr>
          <w:rFonts w:ascii="Arial" w:eastAsia="SimSun" w:hAnsi="Arial" w:cs="Arial"/>
          <w:sz w:val="20"/>
          <w:szCs w:val="20"/>
          <w:lang w:eastAsia="zh-CN"/>
        </w:rPr>
        <w:t xml:space="preserve"> </w:t>
      </w:r>
      <w:r w:rsidR="008632F2" w:rsidRPr="000E0C38">
        <w:rPr>
          <w:rFonts w:ascii="Arial" w:eastAsia="SimSun" w:hAnsi="Arial" w:cs="Arial"/>
          <w:sz w:val="20"/>
          <w:szCs w:val="20"/>
          <w:lang w:eastAsia="zh-CN"/>
        </w:rPr>
        <w:t>India, the Occupied Palestinian Territories, Pakistan, Tanzania, Zambia and Uganda</w:t>
      </w:r>
      <w:r w:rsidR="00EF13DE" w:rsidRPr="000E0C38">
        <w:rPr>
          <w:rFonts w:ascii="Arial" w:eastAsia="SimSun" w:hAnsi="Arial" w:cs="Arial"/>
          <w:sz w:val="20"/>
          <w:szCs w:val="20"/>
          <w:lang w:eastAsia="zh-CN"/>
        </w:rPr>
        <w:t xml:space="preserve"> have high levels of informality</w:t>
      </w:r>
      <w:r w:rsidRPr="000E0C38">
        <w:rPr>
          <w:rFonts w:ascii="Arial" w:eastAsia="SimSun" w:hAnsi="Arial" w:cs="Arial"/>
          <w:sz w:val="20"/>
          <w:szCs w:val="20"/>
          <w:lang w:eastAsia="zh-CN"/>
        </w:rPr>
        <w:t>.</w:t>
      </w:r>
    </w:p>
    <w:p w14:paraId="7CA9F917" w14:textId="77777777" w:rsidR="007A3470" w:rsidRPr="000E0C38" w:rsidRDefault="007A3470" w:rsidP="00831B36">
      <w:pPr>
        <w:numPr>
          <w:ilvl w:val="0"/>
          <w:numId w:val="16"/>
        </w:numPr>
        <w:spacing w:line="276" w:lineRule="auto"/>
        <w:ind w:left="426" w:hanging="426"/>
        <w:jc w:val="both"/>
        <w:rPr>
          <w:rFonts w:ascii="Arial" w:eastAsia="SimSun" w:hAnsi="Arial" w:cs="Arial"/>
          <w:sz w:val="20"/>
          <w:szCs w:val="20"/>
          <w:lang w:eastAsia="zh-CN"/>
        </w:rPr>
      </w:pPr>
      <w:r w:rsidRPr="000E0C38">
        <w:rPr>
          <w:rFonts w:ascii="Arial" w:eastAsia="SimSun" w:hAnsi="Arial" w:cs="Arial"/>
          <w:b/>
          <w:i/>
          <w:sz w:val="20"/>
          <w:szCs w:val="20"/>
          <w:lang w:eastAsia="zh-CN"/>
        </w:rPr>
        <w:t>Harnessing the benefits of foreign participation.</w:t>
      </w:r>
      <w:r w:rsidR="00FF2957" w:rsidRPr="000E0C38">
        <w:rPr>
          <w:rFonts w:ascii="Arial" w:eastAsia="SimSun" w:hAnsi="Arial" w:cs="Arial"/>
          <w:b/>
          <w:i/>
          <w:sz w:val="20"/>
          <w:szCs w:val="20"/>
          <w:lang w:eastAsia="zh-CN"/>
        </w:rPr>
        <w:t xml:space="preserve"> </w:t>
      </w:r>
      <w:r w:rsidR="00FF2957" w:rsidRPr="000E0C38">
        <w:rPr>
          <w:rFonts w:ascii="Arial" w:eastAsia="SimSun" w:hAnsi="Arial" w:cs="Arial"/>
          <w:sz w:val="20"/>
          <w:szCs w:val="20"/>
          <w:lang w:eastAsia="zh-CN"/>
        </w:rPr>
        <w:t>Policies can be implemented to take advantage of</w:t>
      </w:r>
      <w:r w:rsidR="00FF2957" w:rsidRPr="000E0C38">
        <w:rPr>
          <w:rFonts w:ascii="Arial" w:eastAsia="SimSun" w:hAnsi="Arial" w:cs="Arial"/>
          <w:b/>
          <w:i/>
          <w:sz w:val="20"/>
          <w:szCs w:val="20"/>
          <w:lang w:eastAsia="zh-CN"/>
        </w:rPr>
        <w:t xml:space="preserve"> </w:t>
      </w:r>
      <w:r w:rsidR="00FF2957" w:rsidRPr="000E0C38">
        <w:rPr>
          <w:rFonts w:ascii="Arial" w:eastAsia="SimSun" w:hAnsi="Arial" w:cs="Arial"/>
          <w:sz w:val="20"/>
          <w:szCs w:val="20"/>
          <w:lang w:eastAsia="zh-CN"/>
        </w:rPr>
        <w:t xml:space="preserve">the benefits of foreign participation in the sector in terms of skills transfer and knowledge </w:t>
      </w:r>
      <w:proofErr w:type="spellStart"/>
      <w:r w:rsidR="00FF2957" w:rsidRPr="000E0C38">
        <w:rPr>
          <w:rFonts w:ascii="Arial" w:eastAsia="SimSun" w:hAnsi="Arial" w:cs="Arial"/>
          <w:sz w:val="20"/>
          <w:szCs w:val="20"/>
          <w:lang w:eastAsia="zh-CN"/>
        </w:rPr>
        <w:t>spillovers</w:t>
      </w:r>
      <w:proofErr w:type="spellEnd"/>
      <w:r w:rsidR="00FF2957" w:rsidRPr="000E0C38">
        <w:rPr>
          <w:rFonts w:ascii="Arial" w:eastAsia="SimSun" w:hAnsi="Arial" w:cs="Arial"/>
          <w:sz w:val="20"/>
          <w:szCs w:val="20"/>
          <w:lang w:eastAsia="zh-CN"/>
        </w:rPr>
        <w:t>.</w:t>
      </w:r>
    </w:p>
    <w:p w14:paraId="1FC5E277" w14:textId="7E55DE15" w:rsidR="009E64CA" w:rsidRPr="000E0C38" w:rsidRDefault="008632F2" w:rsidP="00831B36">
      <w:pPr>
        <w:widowControl w:val="0"/>
        <w:numPr>
          <w:ilvl w:val="0"/>
          <w:numId w:val="16"/>
        </w:numPr>
        <w:spacing w:line="276" w:lineRule="auto"/>
        <w:ind w:left="425" w:hanging="425"/>
        <w:jc w:val="both"/>
        <w:rPr>
          <w:rFonts w:ascii="Arial" w:eastAsia="SimSun" w:hAnsi="Arial" w:cs="Arial"/>
          <w:sz w:val="20"/>
          <w:szCs w:val="20"/>
          <w:lang w:eastAsia="zh-CN"/>
        </w:rPr>
      </w:pPr>
      <w:r w:rsidRPr="000E0C38">
        <w:rPr>
          <w:rFonts w:ascii="Arial" w:eastAsia="SimSun" w:hAnsi="Arial" w:cs="Arial"/>
          <w:b/>
          <w:i/>
          <w:sz w:val="20"/>
          <w:szCs w:val="20"/>
          <w:lang w:eastAsia="zh-CN"/>
        </w:rPr>
        <w:t>Addressing construction health and safety</w:t>
      </w:r>
      <w:r w:rsidR="00FD41C1" w:rsidRPr="000E0C38">
        <w:rPr>
          <w:rFonts w:ascii="Arial" w:eastAsia="SimSun" w:hAnsi="Arial" w:cs="Arial"/>
          <w:b/>
          <w:i/>
          <w:sz w:val="20"/>
          <w:szCs w:val="20"/>
          <w:lang w:eastAsia="zh-CN"/>
        </w:rPr>
        <w:t xml:space="preserve">. </w:t>
      </w:r>
      <w:r w:rsidR="00FD41C1" w:rsidRPr="000E0C38">
        <w:rPr>
          <w:rFonts w:ascii="Arial" w:eastAsia="SimSun" w:hAnsi="Arial" w:cs="Arial"/>
          <w:sz w:val="20"/>
          <w:szCs w:val="20"/>
          <w:lang w:eastAsia="zh-CN"/>
        </w:rPr>
        <w:t>This is most</w:t>
      </w:r>
      <w:r w:rsidRPr="000E0C38">
        <w:rPr>
          <w:rFonts w:ascii="Arial" w:eastAsia="SimSun" w:hAnsi="Arial" w:cs="Arial"/>
          <w:sz w:val="20"/>
          <w:szCs w:val="20"/>
          <w:lang w:eastAsia="zh-CN"/>
        </w:rPr>
        <w:t xml:space="preserve"> needed </w:t>
      </w:r>
      <w:r w:rsidR="00EF13DE" w:rsidRPr="000E0C38">
        <w:rPr>
          <w:rFonts w:ascii="Arial" w:eastAsia="SimSun" w:hAnsi="Arial" w:cs="Arial"/>
          <w:sz w:val="20"/>
          <w:szCs w:val="20"/>
          <w:lang w:eastAsia="zh-CN"/>
        </w:rPr>
        <w:t>in countries with high mortality rates among construction workers.</w:t>
      </w:r>
      <w:r w:rsidR="0005303B" w:rsidRPr="000E0C38">
        <w:rPr>
          <w:rFonts w:ascii="Arial" w:eastAsia="SimSun" w:hAnsi="Arial" w:cs="Arial"/>
          <w:sz w:val="20"/>
          <w:szCs w:val="20"/>
          <w:lang w:eastAsia="zh-CN"/>
        </w:rPr>
        <w:t xml:space="preserve"> Interventions in this area would improve not only the working conditions in the sector, but also the productivity and overall profits of contractors.</w:t>
      </w:r>
      <w:r w:rsidR="00EF13DE" w:rsidRPr="000E0C38">
        <w:rPr>
          <w:rFonts w:ascii="Arial" w:eastAsia="SimSun" w:hAnsi="Arial" w:cs="Arial"/>
          <w:sz w:val="20"/>
          <w:szCs w:val="20"/>
          <w:lang w:eastAsia="zh-CN"/>
        </w:rPr>
        <w:t xml:space="preserve"> Most</w:t>
      </w:r>
      <w:r w:rsidRPr="000E0C38">
        <w:rPr>
          <w:rFonts w:ascii="Arial" w:eastAsia="SimSun" w:hAnsi="Arial" w:cs="Arial"/>
          <w:sz w:val="20"/>
          <w:szCs w:val="20"/>
          <w:lang w:eastAsia="zh-CN"/>
        </w:rPr>
        <w:t xml:space="preserve"> DFID </w:t>
      </w:r>
      <w:r w:rsidR="009809C2" w:rsidRPr="000E0C38">
        <w:rPr>
          <w:rFonts w:ascii="Arial" w:eastAsia="SimSun" w:hAnsi="Arial" w:cs="Arial"/>
          <w:sz w:val="20"/>
          <w:szCs w:val="20"/>
          <w:lang w:eastAsia="zh-CN"/>
        </w:rPr>
        <w:t xml:space="preserve">focus </w:t>
      </w:r>
      <w:r w:rsidRPr="000E0C38">
        <w:rPr>
          <w:rFonts w:ascii="Arial" w:eastAsia="SimSun" w:hAnsi="Arial" w:cs="Arial"/>
          <w:sz w:val="20"/>
          <w:szCs w:val="20"/>
          <w:lang w:eastAsia="zh-CN"/>
        </w:rPr>
        <w:t xml:space="preserve">countries </w:t>
      </w:r>
      <w:r w:rsidR="00FD41C1" w:rsidRPr="000E0C38">
        <w:rPr>
          <w:rFonts w:ascii="Arial" w:eastAsia="SimSun" w:hAnsi="Arial" w:cs="Arial"/>
          <w:sz w:val="20"/>
          <w:szCs w:val="20"/>
          <w:lang w:eastAsia="zh-CN"/>
        </w:rPr>
        <w:t>have poor (</w:t>
      </w:r>
      <w:r w:rsidR="00EF13DE" w:rsidRPr="000E0C38">
        <w:rPr>
          <w:rFonts w:ascii="Arial" w:eastAsia="SimSun" w:hAnsi="Arial" w:cs="Arial"/>
          <w:sz w:val="20"/>
          <w:szCs w:val="20"/>
          <w:lang w:eastAsia="zh-CN"/>
        </w:rPr>
        <w:t xml:space="preserve">and </w:t>
      </w:r>
      <w:r w:rsidR="009809C2" w:rsidRPr="000E0C38">
        <w:rPr>
          <w:rFonts w:ascii="Arial" w:eastAsia="SimSun" w:hAnsi="Arial" w:cs="Arial"/>
          <w:sz w:val="20"/>
          <w:szCs w:val="20"/>
          <w:lang w:eastAsia="zh-CN"/>
        </w:rPr>
        <w:t>often</w:t>
      </w:r>
      <w:r w:rsidR="00EF13DE" w:rsidRPr="000E0C38">
        <w:rPr>
          <w:rFonts w:ascii="Arial" w:eastAsia="SimSun" w:hAnsi="Arial" w:cs="Arial"/>
          <w:sz w:val="20"/>
          <w:szCs w:val="20"/>
          <w:lang w:eastAsia="zh-CN"/>
        </w:rPr>
        <w:t xml:space="preserve"> underreported</w:t>
      </w:r>
      <w:r w:rsidR="00FD41C1" w:rsidRPr="000E0C38">
        <w:rPr>
          <w:rFonts w:ascii="Arial" w:eastAsia="SimSun" w:hAnsi="Arial" w:cs="Arial"/>
          <w:sz w:val="20"/>
          <w:szCs w:val="20"/>
          <w:lang w:eastAsia="zh-CN"/>
        </w:rPr>
        <w:t>) OSH outcomes</w:t>
      </w:r>
      <w:r w:rsidR="00EF13DE" w:rsidRPr="000E0C38">
        <w:rPr>
          <w:rFonts w:ascii="Arial" w:eastAsia="SimSun" w:hAnsi="Arial" w:cs="Arial"/>
          <w:sz w:val="20"/>
          <w:szCs w:val="20"/>
          <w:lang w:eastAsia="zh-CN"/>
        </w:rPr>
        <w:t>. Some exceptions include</w:t>
      </w:r>
      <w:r w:rsidRPr="000E0C38">
        <w:rPr>
          <w:rFonts w:ascii="Arial" w:eastAsia="SimSun" w:hAnsi="Arial" w:cs="Arial"/>
          <w:sz w:val="20"/>
          <w:szCs w:val="20"/>
          <w:lang w:eastAsia="zh-CN"/>
        </w:rPr>
        <w:t xml:space="preserve"> Kyrgyzstan and South Africa.</w:t>
      </w:r>
    </w:p>
    <w:p w14:paraId="058DB37E" w14:textId="77777777" w:rsidR="00240511" w:rsidRPr="000E0C38" w:rsidRDefault="00240511" w:rsidP="00831B36">
      <w:pPr>
        <w:widowControl w:val="0"/>
        <w:numPr>
          <w:ilvl w:val="0"/>
          <w:numId w:val="16"/>
        </w:numPr>
        <w:spacing w:line="276" w:lineRule="auto"/>
        <w:ind w:left="425" w:hanging="425"/>
        <w:jc w:val="both"/>
        <w:rPr>
          <w:rFonts w:ascii="Arial" w:eastAsia="SimSun" w:hAnsi="Arial" w:cs="Arial"/>
          <w:sz w:val="20"/>
          <w:szCs w:val="20"/>
          <w:lang w:eastAsia="zh-CN"/>
        </w:rPr>
      </w:pPr>
      <w:r w:rsidRPr="000E0C38">
        <w:rPr>
          <w:rFonts w:ascii="Arial" w:eastAsia="SimSun" w:hAnsi="Arial" w:cs="Arial"/>
          <w:b/>
          <w:i/>
          <w:sz w:val="20"/>
          <w:szCs w:val="20"/>
          <w:lang w:eastAsia="zh-CN"/>
        </w:rPr>
        <w:t>Promoting equal access to decent employment for national workers (including women).</w:t>
      </w:r>
      <w:r w:rsidRPr="000E0C38">
        <w:rPr>
          <w:rFonts w:ascii="Arial" w:eastAsia="SimSun" w:hAnsi="Arial" w:cs="Arial"/>
          <w:sz w:val="20"/>
          <w:szCs w:val="20"/>
          <w:lang w:eastAsia="zh-CN"/>
        </w:rPr>
        <w:t xml:space="preserve"> It is important to implement a pro-poor approach. Countries with high expected (female and total) employment growth include Kyrgyzstan, Myanmar, Yemen, Pakistan, Uganda, Afghanistan, Tanzania, Sierra Leone, Ethiopia, Liberia, India, Bangladesh, South Africa and Nepal.</w:t>
      </w:r>
    </w:p>
    <w:p w14:paraId="282BAE75" w14:textId="77777777" w:rsidR="009E64CA" w:rsidRPr="000E0C38" w:rsidRDefault="00240511" w:rsidP="00831B36">
      <w:pPr>
        <w:numPr>
          <w:ilvl w:val="0"/>
          <w:numId w:val="16"/>
        </w:numPr>
        <w:spacing w:line="276" w:lineRule="auto"/>
        <w:ind w:left="426" w:hanging="426"/>
        <w:jc w:val="both"/>
        <w:rPr>
          <w:rFonts w:ascii="Arial" w:eastAsia="SimSun" w:hAnsi="Arial" w:cs="Arial"/>
          <w:sz w:val="20"/>
          <w:szCs w:val="20"/>
          <w:lang w:eastAsia="zh-CN"/>
        </w:rPr>
      </w:pPr>
      <w:r w:rsidRPr="000E0C38">
        <w:rPr>
          <w:rFonts w:ascii="Arial" w:eastAsia="SimSun" w:hAnsi="Arial" w:cs="Arial"/>
          <w:b/>
          <w:i/>
          <w:sz w:val="20"/>
          <w:szCs w:val="20"/>
          <w:lang w:eastAsia="zh-CN"/>
        </w:rPr>
        <w:lastRenderedPageBreak/>
        <w:t>Interventions to reduce</w:t>
      </w:r>
      <w:r w:rsidR="008632F2" w:rsidRPr="000E0C38">
        <w:rPr>
          <w:rFonts w:ascii="Arial" w:eastAsia="SimSun" w:hAnsi="Arial" w:cs="Arial"/>
          <w:b/>
          <w:i/>
          <w:sz w:val="20"/>
          <w:szCs w:val="20"/>
          <w:lang w:eastAsia="zh-CN"/>
        </w:rPr>
        <w:t xml:space="preserve"> child </w:t>
      </w:r>
      <w:r w:rsidR="00FD41C1" w:rsidRPr="000E0C38">
        <w:rPr>
          <w:rFonts w:ascii="Arial" w:eastAsia="SimSun" w:hAnsi="Arial" w:cs="Arial"/>
          <w:b/>
          <w:i/>
          <w:sz w:val="20"/>
          <w:szCs w:val="20"/>
          <w:lang w:eastAsia="zh-CN"/>
        </w:rPr>
        <w:t xml:space="preserve">and forced labour </w:t>
      </w:r>
      <w:r w:rsidR="008632F2" w:rsidRPr="000E0C38">
        <w:rPr>
          <w:rFonts w:ascii="Arial" w:eastAsia="SimSun" w:hAnsi="Arial" w:cs="Arial"/>
          <w:b/>
          <w:i/>
          <w:sz w:val="20"/>
          <w:szCs w:val="20"/>
          <w:lang w:eastAsia="zh-CN"/>
        </w:rPr>
        <w:t>in construction supply chain</w:t>
      </w:r>
      <w:r w:rsidRPr="000E0C38">
        <w:rPr>
          <w:rFonts w:ascii="Arial" w:eastAsia="SimSun" w:hAnsi="Arial" w:cs="Arial"/>
          <w:b/>
          <w:i/>
          <w:sz w:val="20"/>
          <w:szCs w:val="20"/>
          <w:lang w:eastAsia="zh-CN"/>
        </w:rPr>
        <w:t xml:space="preserve">s. </w:t>
      </w:r>
      <w:r w:rsidRPr="000E0C38">
        <w:rPr>
          <w:rFonts w:ascii="Arial" w:eastAsia="SimSun" w:hAnsi="Arial" w:cs="Arial"/>
          <w:sz w:val="20"/>
          <w:szCs w:val="20"/>
          <w:lang w:eastAsia="zh-CN"/>
        </w:rPr>
        <w:t>These are</w:t>
      </w:r>
      <w:r w:rsidR="0005303B" w:rsidRPr="000E0C38">
        <w:rPr>
          <w:rFonts w:ascii="Arial" w:eastAsia="SimSun" w:hAnsi="Arial" w:cs="Arial"/>
          <w:sz w:val="20"/>
          <w:szCs w:val="20"/>
          <w:lang w:eastAsia="zh-CN"/>
        </w:rPr>
        <w:t xml:space="preserve"> most needed in countries with high incidence of child labour in the brick making sector, among others. Reducing child labour would increase general levels of education and </w:t>
      </w:r>
      <w:r w:rsidR="00B11C23" w:rsidRPr="000E0C38">
        <w:rPr>
          <w:rFonts w:ascii="Arial" w:eastAsia="SimSun" w:hAnsi="Arial" w:cs="Arial"/>
          <w:sz w:val="20"/>
          <w:szCs w:val="20"/>
          <w:lang w:eastAsia="zh-CN"/>
        </w:rPr>
        <w:t>long-term</w:t>
      </w:r>
      <w:r w:rsidR="0005303B" w:rsidRPr="000E0C38">
        <w:rPr>
          <w:rFonts w:ascii="Arial" w:eastAsia="SimSun" w:hAnsi="Arial" w:cs="Arial"/>
          <w:sz w:val="20"/>
          <w:szCs w:val="20"/>
          <w:lang w:eastAsia="zh-CN"/>
        </w:rPr>
        <w:t xml:space="preserve"> health and livelihood benefits for children. Countries with highest numbers of child workers in the construction industry include</w:t>
      </w:r>
      <w:r w:rsidR="008632F2" w:rsidRPr="000E0C38">
        <w:rPr>
          <w:rFonts w:ascii="Arial" w:eastAsia="SimSun" w:hAnsi="Arial" w:cs="Arial"/>
          <w:sz w:val="20"/>
          <w:szCs w:val="20"/>
          <w:lang w:eastAsia="zh-CN"/>
        </w:rPr>
        <w:t xml:space="preserve"> Afghanistan, Bangladesh, Burma, India, Nigeria, Pakistan, Sierra Leone, Uganda and Zambia.</w:t>
      </w:r>
    </w:p>
    <w:p w14:paraId="2ED0957F" w14:textId="77777777" w:rsidR="006E54C9" w:rsidRPr="000E0C38" w:rsidRDefault="008632F2" w:rsidP="00831B36">
      <w:pPr>
        <w:numPr>
          <w:ilvl w:val="0"/>
          <w:numId w:val="16"/>
        </w:numPr>
        <w:spacing w:after="120" w:line="276" w:lineRule="auto"/>
        <w:ind w:left="425" w:hanging="425"/>
        <w:jc w:val="both"/>
        <w:rPr>
          <w:rFonts w:ascii="Arial" w:eastAsia="SimSun" w:hAnsi="Arial" w:cs="Arial"/>
          <w:sz w:val="20"/>
          <w:szCs w:val="20"/>
          <w:lang w:eastAsia="zh-CN"/>
        </w:rPr>
      </w:pPr>
      <w:r w:rsidRPr="000E0C38">
        <w:rPr>
          <w:rFonts w:ascii="Arial" w:eastAsia="SimSun" w:hAnsi="Arial" w:cs="Arial"/>
          <w:b/>
          <w:i/>
          <w:sz w:val="20"/>
          <w:szCs w:val="20"/>
          <w:lang w:eastAsia="zh-CN"/>
        </w:rPr>
        <w:t>Skills and education development</w:t>
      </w:r>
      <w:r w:rsidR="00240511" w:rsidRPr="000E0C38">
        <w:rPr>
          <w:rFonts w:ascii="Arial" w:eastAsia="SimSun" w:hAnsi="Arial" w:cs="Arial"/>
          <w:b/>
          <w:i/>
          <w:sz w:val="20"/>
          <w:szCs w:val="20"/>
          <w:lang w:eastAsia="zh-CN"/>
        </w:rPr>
        <w:t xml:space="preserve">. </w:t>
      </w:r>
      <w:r w:rsidR="00240511" w:rsidRPr="000E0C38">
        <w:rPr>
          <w:rFonts w:ascii="Arial" w:eastAsia="SimSun" w:hAnsi="Arial" w:cs="Arial"/>
          <w:sz w:val="20"/>
          <w:szCs w:val="20"/>
          <w:lang w:eastAsia="zh-CN"/>
        </w:rPr>
        <w:t>This</w:t>
      </w:r>
      <w:r w:rsidRPr="000E0C38">
        <w:rPr>
          <w:rFonts w:ascii="Arial" w:eastAsia="SimSun" w:hAnsi="Arial" w:cs="Arial"/>
          <w:sz w:val="20"/>
          <w:szCs w:val="20"/>
          <w:lang w:eastAsia="zh-CN"/>
        </w:rPr>
        <w:t xml:space="preserve"> </w:t>
      </w:r>
      <w:r w:rsidR="005007B8" w:rsidRPr="000E0C38">
        <w:rPr>
          <w:rFonts w:ascii="Arial" w:eastAsia="SimSun" w:hAnsi="Arial" w:cs="Arial"/>
          <w:sz w:val="20"/>
          <w:szCs w:val="20"/>
          <w:lang w:eastAsia="zh-CN"/>
        </w:rPr>
        <w:t>could improve employment outcomes</w:t>
      </w:r>
      <w:r w:rsidRPr="000E0C38">
        <w:rPr>
          <w:rFonts w:ascii="Arial" w:eastAsia="SimSun" w:hAnsi="Arial" w:cs="Arial"/>
          <w:sz w:val="20"/>
          <w:szCs w:val="20"/>
          <w:lang w:eastAsia="zh-CN"/>
        </w:rPr>
        <w:t xml:space="preserve"> in most countries</w:t>
      </w:r>
      <w:r w:rsidR="005007B8"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but would </w:t>
      </w:r>
      <w:r w:rsidR="005007B8" w:rsidRPr="000E0C38">
        <w:rPr>
          <w:rFonts w:ascii="Arial" w:eastAsia="SimSun" w:hAnsi="Arial" w:cs="Arial"/>
          <w:sz w:val="20"/>
          <w:szCs w:val="20"/>
          <w:lang w:eastAsia="zh-CN"/>
        </w:rPr>
        <w:t>achieve maximum results</w:t>
      </w:r>
      <w:r w:rsidRPr="000E0C38">
        <w:rPr>
          <w:rFonts w:ascii="Arial" w:eastAsia="SimSun" w:hAnsi="Arial" w:cs="Arial"/>
          <w:sz w:val="20"/>
          <w:szCs w:val="20"/>
          <w:lang w:eastAsia="zh-CN"/>
        </w:rPr>
        <w:t xml:space="preserve"> in DRC, Zambia, Malawi, Tanzania and Mozambique.</w:t>
      </w:r>
    </w:p>
    <w:p w14:paraId="1303FE8F" w14:textId="77777777" w:rsidR="009E64CA" w:rsidRPr="000E0C38" w:rsidRDefault="00B0175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E</w:t>
      </w:r>
      <w:r w:rsidR="005007B8" w:rsidRPr="000E0C38">
        <w:rPr>
          <w:rFonts w:ascii="Arial" w:eastAsia="SimSun" w:hAnsi="Arial" w:cs="Arial"/>
          <w:sz w:val="20"/>
          <w:szCs w:val="20"/>
          <w:lang w:eastAsia="zh-CN"/>
        </w:rPr>
        <w:t xml:space="preserve">ach of these </w:t>
      </w:r>
      <w:r w:rsidRPr="000E0C38">
        <w:rPr>
          <w:rFonts w:ascii="Arial" w:eastAsia="SimSun" w:hAnsi="Arial" w:cs="Arial"/>
          <w:sz w:val="20"/>
          <w:szCs w:val="20"/>
          <w:lang w:eastAsia="zh-CN"/>
        </w:rPr>
        <w:t xml:space="preserve">is explored </w:t>
      </w:r>
      <w:r w:rsidR="005007B8" w:rsidRPr="000E0C38">
        <w:rPr>
          <w:rFonts w:ascii="Arial" w:eastAsia="SimSun" w:hAnsi="Arial" w:cs="Arial"/>
          <w:sz w:val="20"/>
          <w:szCs w:val="20"/>
          <w:lang w:eastAsia="zh-CN"/>
        </w:rPr>
        <w:t>in turn</w:t>
      </w:r>
      <w:r w:rsidRPr="000E0C38">
        <w:rPr>
          <w:rFonts w:ascii="Arial" w:eastAsia="SimSun" w:hAnsi="Arial" w:cs="Arial"/>
          <w:sz w:val="20"/>
          <w:szCs w:val="20"/>
          <w:lang w:eastAsia="zh-CN"/>
        </w:rPr>
        <w:t xml:space="preserve"> below.</w:t>
      </w:r>
    </w:p>
    <w:p w14:paraId="1B496A20" w14:textId="77777777" w:rsidR="00EB7499" w:rsidRPr="000E0C38" w:rsidRDefault="00EB7499" w:rsidP="00A4783E">
      <w:pPr>
        <w:pStyle w:val="Heading2"/>
        <w:spacing w:before="0"/>
        <w:rPr>
          <w:lang w:eastAsia="zh-CN"/>
        </w:rPr>
      </w:pPr>
      <w:bookmarkStart w:id="30" w:name="_Toc498019399"/>
      <w:r w:rsidRPr="000E0C38">
        <w:rPr>
          <w:lang w:eastAsia="zh-CN"/>
        </w:rPr>
        <w:t>3.</w:t>
      </w:r>
      <w:r w:rsidR="007A1381" w:rsidRPr="000E0C38">
        <w:rPr>
          <w:lang w:eastAsia="zh-CN"/>
        </w:rPr>
        <w:t>2</w:t>
      </w:r>
      <w:r w:rsidRPr="000E0C38">
        <w:rPr>
          <w:lang w:eastAsia="zh-CN"/>
        </w:rPr>
        <w:t xml:space="preserve"> Support</w:t>
      </w:r>
      <w:r w:rsidR="00240511" w:rsidRPr="000E0C38">
        <w:rPr>
          <w:lang w:eastAsia="zh-CN"/>
        </w:rPr>
        <w:t>ing</w:t>
      </w:r>
      <w:r w:rsidRPr="000E0C38">
        <w:rPr>
          <w:lang w:eastAsia="zh-CN"/>
        </w:rPr>
        <w:t xml:space="preserve"> transition to formality</w:t>
      </w:r>
      <w:bookmarkEnd w:id="30"/>
    </w:p>
    <w:p w14:paraId="6A790D9D" w14:textId="2CD48B20" w:rsidR="00EB7499" w:rsidRPr="000E0C38" w:rsidRDefault="00EB7499"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The construction sector in DFID countries of focus is characterised by high degrees of informality, as described in section 2.1</w:t>
      </w:r>
      <w:r w:rsidR="00886B87" w:rsidRPr="000E0C38">
        <w:rPr>
          <w:rFonts w:ascii="Arial" w:eastAsia="SimSun" w:hAnsi="Arial" w:cs="Arial"/>
          <w:sz w:val="20"/>
          <w:szCs w:val="20"/>
          <w:lang w:eastAsia="zh-CN"/>
        </w:rPr>
        <w:t>, with irregular work, frequent non</w:t>
      </w:r>
      <w:r w:rsidR="001247D3" w:rsidRPr="000E0C38">
        <w:rPr>
          <w:rFonts w:ascii="Arial" w:eastAsia="SimSun" w:hAnsi="Arial" w:cs="Arial"/>
          <w:sz w:val="20"/>
          <w:szCs w:val="20"/>
          <w:lang w:eastAsia="zh-CN"/>
        </w:rPr>
        <w:t>-</w:t>
      </w:r>
      <w:r w:rsidR="00886B87" w:rsidRPr="000E0C38">
        <w:rPr>
          <w:rFonts w:ascii="Arial" w:eastAsia="SimSun" w:hAnsi="Arial" w:cs="Arial"/>
          <w:sz w:val="20"/>
          <w:szCs w:val="20"/>
          <w:lang w:eastAsia="zh-CN"/>
        </w:rPr>
        <w:t xml:space="preserve">payment of wages and the widespread participation of </w:t>
      </w:r>
      <w:r w:rsidR="001247D3" w:rsidRPr="000E0C38">
        <w:rPr>
          <w:rFonts w:ascii="Arial" w:eastAsia="SimSun" w:hAnsi="Arial" w:cs="Arial"/>
          <w:sz w:val="20"/>
          <w:szCs w:val="20"/>
          <w:lang w:eastAsia="zh-CN"/>
        </w:rPr>
        <w:t>unscrupulous intermediaries</w:t>
      </w:r>
      <w:r w:rsidRPr="000E0C38">
        <w:rPr>
          <w:rFonts w:ascii="Arial" w:eastAsia="SimSun" w:hAnsi="Arial" w:cs="Arial"/>
          <w:sz w:val="20"/>
          <w:szCs w:val="20"/>
          <w:lang w:eastAsia="zh-CN"/>
        </w:rPr>
        <w:t>.</w:t>
      </w:r>
      <w:r w:rsidR="001247D3"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 xml:space="preserve"> </w:t>
      </w:r>
      <w:r w:rsidR="00240511" w:rsidRPr="000E0C38">
        <w:rPr>
          <w:rFonts w:ascii="Arial" w:eastAsia="SimSun" w:hAnsi="Arial" w:cs="Arial"/>
          <w:sz w:val="20"/>
          <w:szCs w:val="20"/>
          <w:lang w:eastAsia="zh-CN"/>
        </w:rPr>
        <w:t>Bureaucratic formalis</w:t>
      </w:r>
      <w:r w:rsidRPr="000E0C38">
        <w:rPr>
          <w:rFonts w:ascii="Arial" w:eastAsia="SimSun" w:hAnsi="Arial" w:cs="Arial"/>
          <w:sz w:val="20"/>
          <w:szCs w:val="20"/>
          <w:lang w:eastAsia="zh-CN"/>
        </w:rPr>
        <w:t xml:space="preserve">ation procedures </w:t>
      </w:r>
      <w:r w:rsidR="00886B87" w:rsidRPr="000E0C38">
        <w:rPr>
          <w:rFonts w:ascii="Arial" w:eastAsia="SimSun" w:hAnsi="Arial" w:cs="Arial"/>
          <w:sz w:val="20"/>
          <w:szCs w:val="20"/>
          <w:lang w:eastAsia="zh-CN"/>
        </w:rPr>
        <w:t>are</w:t>
      </w:r>
      <w:r w:rsidR="00240511" w:rsidRPr="000E0C38">
        <w:rPr>
          <w:rFonts w:ascii="Arial" w:eastAsia="SimSun" w:hAnsi="Arial" w:cs="Arial"/>
          <w:sz w:val="20"/>
          <w:szCs w:val="20"/>
          <w:lang w:eastAsia="zh-CN"/>
        </w:rPr>
        <w:t xml:space="preserve"> one factor</w:t>
      </w:r>
      <w:r w:rsidRPr="000E0C38">
        <w:rPr>
          <w:rFonts w:ascii="Arial" w:eastAsia="SimSun" w:hAnsi="Arial" w:cs="Arial"/>
          <w:sz w:val="20"/>
          <w:szCs w:val="20"/>
          <w:lang w:eastAsia="zh-CN"/>
        </w:rPr>
        <w:t xml:space="preserve"> impeding formalisation of employment in construction, </w:t>
      </w:r>
      <w:r w:rsidR="00B11C23" w:rsidRPr="000E0C38">
        <w:rPr>
          <w:rFonts w:ascii="Arial" w:eastAsia="SimSun" w:hAnsi="Arial" w:cs="Arial"/>
          <w:sz w:val="20"/>
          <w:szCs w:val="20"/>
          <w:lang w:eastAsia="zh-CN"/>
        </w:rPr>
        <w:t>especially</w:t>
      </w:r>
      <w:r w:rsidRPr="000E0C38">
        <w:rPr>
          <w:rFonts w:ascii="Arial" w:eastAsia="SimSun" w:hAnsi="Arial" w:cs="Arial"/>
          <w:sz w:val="20"/>
          <w:szCs w:val="20"/>
          <w:lang w:eastAsia="zh-CN"/>
        </w:rPr>
        <w:t xml:space="preserve"> </w:t>
      </w:r>
      <w:r w:rsidR="00240511" w:rsidRPr="000E0C38">
        <w:rPr>
          <w:rFonts w:ascii="Arial" w:eastAsia="SimSun" w:hAnsi="Arial" w:cs="Arial"/>
          <w:sz w:val="20"/>
          <w:szCs w:val="20"/>
          <w:lang w:eastAsia="zh-CN"/>
        </w:rPr>
        <w:t xml:space="preserve">for </w:t>
      </w:r>
      <w:r w:rsidRPr="000E0C38">
        <w:rPr>
          <w:rFonts w:ascii="Arial" w:eastAsia="SimSun" w:hAnsi="Arial" w:cs="Arial"/>
          <w:sz w:val="20"/>
          <w:szCs w:val="20"/>
          <w:lang w:eastAsia="zh-CN"/>
        </w:rPr>
        <w:t xml:space="preserve">micro-enterprises. Low levels of education and poverty </w:t>
      </w:r>
      <w:r w:rsidR="00240511" w:rsidRPr="000E0C38">
        <w:rPr>
          <w:rFonts w:ascii="Arial" w:eastAsia="SimSun" w:hAnsi="Arial" w:cs="Arial"/>
          <w:sz w:val="20"/>
          <w:szCs w:val="20"/>
          <w:lang w:eastAsia="zh-CN"/>
        </w:rPr>
        <w:t>also drive</w:t>
      </w:r>
      <w:r w:rsidRPr="000E0C38">
        <w:rPr>
          <w:rFonts w:ascii="Arial" w:eastAsia="SimSun" w:hAnsi="Arial" w:cs="Arial"/>
          <w:sz w:val="20"/>
          <w:szCs w:val="20"/>
          <w:lang w:eastAsia="zh-CN"/>
        </w:rPr>
        <w:t xml:space="preserve"> high levels of informality. Although employment arrangements such as temporary or part-time jobs assist with the industry’s adaptability and flexibility to respond to growth opportunities, governments and relevant stakeholders should work to ensure the effective protection of workers.</w:t>
      </w:r>
    </w:p>
    <w:p w14:paraId="410C1E85" w14:textId="77777777" w:rsidR="00EB7499" w:rsidRPr="000E0C38" w:rsidRDefault="00EB7499"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Interventions promoting transition to formal</w:t>
      </w:r>
      <w:r w:rsidR="00240511" w:rsidRPr="000E0C38">
        <w:rPr>
          <w:rFonts w:ascii="Arial" w:eastAsia="SimSun" w:hAnsi="Arial" w:cs="Arial"/>
          <w:sz w:val="20"/>
          <w:szCs w:val="20"/>
          <w:lang w:eastAsia="zh-CN"/>
        </w:rPr>
        <w:t>ity</w:t>
      </w:r>
      <w:r w:rsidRPr="000E0C38">
        <w:rPr>
          <w:rFonts w:ascii="Arial" w:eastAsia="SimSun" w:hAnsi="Arial" w:cs="Arial"/>
          <w:sz w:val="20"/>
          <w:szCs w:val="20"/>
          <w:lang w:eastAsia="zh-CN"/>
        </w:rPr>
        <w:t xml:space="preserve"> work best in countries experiencing increase</w:t>
      </w:r>
      <w:r w:rsidR="00240511" w:rsidRPr="000E0C38">
        <w:rPr>
          <w:rFonts w:ascii="Arial" w:eastAsia="SimSun" w:hAnsi="Arial" w:cs="Arial"/>
          <w:sz w:val="20"/>
          <w:szCs w:val="20"/>
          <w:lang w:eastAsia="zh-CN"/>
        </w:rPr>
        <w:t>d</w:t>
      </w:r>
      <w:r w:rsidRPr="000E0C38">
        <w:rPr>
          <w:rFonts w:ascii="Arial" w:eastAsia="SimSun" w:hAnsi="Arial" w:cs="Arial"/>
          <w:sz w:val="20"/>
          <w:szCs w:val="20"/>
          <w:lang w:eastAsia="zh-CN"/>
        </w:rPr>
        <w:t xml:space="preserve"> turnover in the constructi</w:t>
      </w:r>
      <w:r w:rsidR="00240511" w:rsidRPr="000E0C38">
        <w:rPr>
          <w:rFonts w:ascii="Arial" w:eastAsia="SimSun" w:hAnsi="Arial" w:cs="Arial"/>
          <w:sz w:val="20"/>
          <w:szCs w:val="20"/>
          <w:lang w:eastAsia="zh-CN"/>
        </w:rPr>
        <w:t>on sector.</w:t>
      </w:r>
      <w:r w:rsidRPr="000E0C38">
        <w:rPr>
          <w:rFonts w:ascii="Arial" w:eastAsia="SimSun" w:hAnsi="Arial" w:cs="Arial"/>
          <w:sz w:val="20"/>
          <w:szCs w:val="20"/>
          <w:lang w:eastAsia="zh-CN"/>
        </w:rPr>
        <w:t xml:space="preserve"> Increased turnover directly generates employment growth, which means that countries that have high expected employment growth have higher pote</w:t>
      </w:r>
      <w:r w:rsidR="00240511" w:rsidRPr="000E0C38">
        <w:rPr>
          <w:rFonts w:ascii="Arial" w:eastAsia="SimSun" w:hAnsi="Arial" w:cs="Arial"/>
          <w:sz w:val="20"/>
          <w:szCs w:val="20"/>
          <w:lang w:eastAsia="zh-CN"/>
        </w:rPr>
        <w:t>ntial when implementing formalis</w:t>
      </w:r>
      <w:r w:rsidRPr="000E0C38">
        <w:rPr>
          <w:rFonts w:ascii="Arial" w:eastAsia="SimSun" w:hAnsi="Arial" w:cs="Arial"/>
          <w:sz w:val="20"/>
          <w:szCs w:val="20"/>
          <w:lang w:eastAsia="zh-CN"/>
        </w:rPr>
        <w:t>ation programmes</w:t>
      </w:r>
      <w:r w:rsidRPr="000E0C38">
        <w:rPr>
          <w:rFonts w:ascii="Times New Roman" w:eastAsia="SimSun" w:hAnsi="Times New Roman"/>
          <w:szCs w:val="22"/>
          <w:lang w:eastAsia="zh-CN"/>
        </w:rPr>
        <w:t xml:space="preserve">. </w:t>
      </w:r>
      <w:r w:rsidRPr="000E0C38">
        <w:rPr>
          <w:rFonts w:ascii="Arial" w:eastAsia="SimSun" w:hAnsi="Arial" w:cs="Arial"/>
          <w:sz w:val="20"/>
          <w:szCs w:val="20"/>
          <w:lang w:eastAsia="zh-CN"/>
        </w:rPr>
        <w:t>Countries with high incidence of informal employment, and also high expected employment growth are India, the Occupied Palestinian Territories, Pakistan, Tanzania and Zambia.</w:t>
      </w:r>
      <w:r w:rsidR="006545DE" w:rsidRPr="000E0C38">
        <w:rPr>
          <w:rFonts w:ascii="Arial" w:eastAsia="SimSun" w:hAnsi="Arial" w:cs="Arial"/>
          <w:sz w:val="20"/>
          <w:szCs w:val="20"/>
          <w:lang w:eastAsia="zh-CN"/>
        </w:rPr>
        <w:t xml:space="preserve"> Other DFID countries of focus </w:t>
      </w:r>
      <w:r w:rsidR="00240511" w:rsidRPr="000E0C38">
        <w:rPr>
          <w:rFonts w:ascii="Arial" w:eastAsia="SimSun" w:hAnsi="Arial" w:cs="Arial"/>
          <w:sz w:val="20"/>
          <w:szCs w:val="20"/>
          <w:lang w:eastAsia="zh-CN"/>
        </w:rPr>
        <w:t xml:space="preserve">may </w:t>
      </w:r>
      <w:r w:rsidR="006545DE" w:rsidRPr="000E0C38">
        <w:rPr>
          <w:rFonts w:ascii="Arial" w:eastAsia="SimSun" w:hAnsi="Arial" w:cs="Arial"/>
          <w:sz w:val="20"/>
          <w:szCs w:val="20"/>
          <w:lang w:eastAsia="zh-CN"/>
        </w:rPr>
        <w:t>have high incidence of informal employment but unfortunately data was not available for all.</w:t>
      </w:r>
    </w:p>
    <w:p w14:paraId="08FBB008" w14:textId="77777777" w:rsidR="00EB7499" w:rsidRPr="000E0C38" w:rsidRDefault="00EB7499"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Potential ways to encourage transition to formality include:</w:t>
      </w:r>
    </w:p>
    <w:p w14:paraId="3A9CE2F8" w14:textId="77777777" w:rsidR="00EB7499" w:rsidRPr="000E0C38" w:rsidRDefault="00EB7499" w:rsidP="00831B36">
      <w:pPr>
        <w:numPr>
          <w:ilvl w:val="0"/>
          <w:numId w:val="11"/>
        </w:numPr>
        <w:spacing w:line="276" w:lineRule="auto"/>
        <w:ind w:left="284" w:hanging="284"/>
        <w:jc w:val="both"/>
        <w:rPr>
          <w:rFonts w:ascii="Arial" w:eastAsia="SimSun" w:hAnsi="Arial" w:cs="Arial"/>
          <w:sz w:val="20"/>
          <w:szCs w:val="20"/>
          <w:lang w:eastAsia="zh-CN"/>
        </w:rPr>
      </w:pPr>
      <w:r w:rsidRPr="000E0C38">
        <w:rPr>
          <w:rFonts w:ascii="Arial" w:eastAsia="SimSun" w:hAnsi="Arial" w:cs="Arial"/>
          <w:b/>
          <w:i/>
          <w:sz w:val="20"/>
          <w:szCs w:val="20"/>
          <w:lang w:eastAsia="zh-CN"/>
        </w:rPr>
        <w:t>Adoption of policy instruments facilitating the formalisation</w:t>
      </w:r>
      <w:r w:rsidRPr="000E0C38">
        <w:rPr>
          <w:rFonts w:ascii="Arial" w:eastAsia="SimSun" w:hAnsi="Arial" w:cs="Arial"/>
          <w:sz w:val="20"/>
          <w:szCs w:val="20"/>
          <w:lang w:eastAsia="zh-CN"/>
        </w:rPr>
        <w:t xml:space="preserve"> of Micro, Small and Medium-sized Enterprises, compliance and strong enforcement of the law, and effective social dialogue with social partners.</w:t>
      </w:r>
      <w:r w:rsidR="00284257" w:rsidRPr="000E0C38">
        <w:rPr>
          <w:rFonts w:ascii="Arial" w:eastAsia="SimSun" w:hAnsi="Arial" w:cs="Arial"/>
          <w:sz w:val="20"/>
          <w:szCs w:val="20"/>
          <w:lang w:eastAsia="zh-CN"/>
        </w:rPr>
        <w:t xml:space="preserve"> In s</w:t>
      </w:r>
      <w:r w:rsidR="00240511" w:rsidRPr="000E0C38">
        <w:rPr>
          <w:rFonts w:ascii="Arial" w:eastAsia="SimSun" w:hAnsi="Arial" w:cs="Arial"/>
          <w:sz w:val="20"/>
          <w:szCs w:val="20"/>
          <w:lang w:eastAsia="zh-CN"/>
        </w:rPr>
        <w:t>ome countries with high formalis</w:t>
      </w:r>
      <w:r w:rsidR="00284257" w:rsidRPr="000E0C38">
        <w:rPr>
          <w:rFonts w:ascii="Arial" w:eastAsia="SimSun" w:hAnsi="Arial" w:cs="Arial"/>
          <w:sz w:val="20"/>
          <w:szCs w:val="20"/>
          <w:lang w:eastAsia="zh-CN"/>
        </w:rPr>
        <w:t>ation costs, program</w:t>
      </w:r>
      <w:r w:rsidR="00991DB7" w:rsidRPr="000E0C38">
        <w:rPr>
          <w:rFonts w:ascii="Arial" w:eastAsia="SimSun" w:hAnsi="Arial" w:cs="Arial"/>
          <w:sz w:val="20"/>
          <w:szCs w:val="20"/>
          <w:lang w:eastAsia="zh-CN"/>
        </w:rPr>
        <w:t>me</w:t>
      </w:r>
      <w:r w:rsidR="00284257" w:rsidRPr="000E0C38">
        <w:rPr>
          <w:rFonts w:ascii="Arial" w:eastAsia="SimSun" w:hAnsi="Arial" w:cs="Arial"/>
          <w:sz w:val="20"/>
          <w:szCs w:val="20"/>
          <w:lang w:eastAsia="zh-CN"/>
        </w:rPr>
        <w:t>s can f</w:t>
      </w:r>
      <w:r w:rsidR="00240511" w:rsidRPr="000E0C38">
        <w:rPr>
          <w:rFonts w:ascii="Arial" w:eastAsia="SimSun" w:hAnsi="Arial" w:cs="Arial"/>
          <w:sz w:val="20"/>
          <w:szCs w:val="20"/>
          <w:lang w:eastAsia="zh-CN"/>
        </w:rPr>
        <w:t>ocus on working with government</w:t>
      </w:r>
      <w:r w:rsidR="00284257" w:rsidRPr="000E0C38">
        <w:rPr>
          <w:rFonts w:ascii="Arial" w:eastAsia="SimSun" w:hAnsi="Arial" w:cs="Arial"/>
          <w:sz w:val="20"/>
          <w:szCs w:val="20"/>
          <w:lang w:eastAsia="zh-CN"/>
        </w:rPr>
        <w:t xml:space="preserve"> institutions to </w:t>
      </w:r>
      <w:r w:rsidR="0011299B" w:rsidRPr="000E0C38">
        <w:rPr>
          <w:rFonts w:ascii="Arial" w:eastAsia="SimSun" w:hAnsi="Arial" w:cs="Arial"/>
          <w:sz w:val="20"/>
          <w:szCs w:val="20"/>
          <w:lang w:eastAsia="zh-CN"/>
        </w:rPr>
        <w:t>simplify</w:t>
      </w:r>
      <w:r w:rsidR="00240511" w:rsidRPr="000E0C38">
        <w:rPr>
          <w:rFonts w:ascii="Arial" w:eastAsia="SimSun" w:hAnsi="Arial" w:cs="Arial"/>
          <w:sz w:val="20"/>
          <w:szCs w:val="20"/>
          <w:lang w:eastAsia="zh-CN"/>
        </w:rPr>
        <w:t xml:space="preserve"> the procedures to formalis</w:t>
      </w:r>
      <w:r w:rsidR="0011299B" w:rsidRPr="000E0C38">
        <w:rPr>
          <w:rFonts w:ascii="Arial" w:eastAsia="SimSun" w:hAnsi="Arial" w:cs="Arial"/>
          <w:sz w:val="20"/>
          <w:szCs w:val="20"/>
          <w:lang w:eastAsia="zh-CN"/>
        </w:rPr>
        <w:t xml:space="preserve">ation and reduce </w:t>
      </w:r>
      <w:r w:rsidR="00240511" w:rsidRPr="000E0C38">
        <w:rPr>
          <w:rFonts w:ascii="Arial" w:eastAsia="SimSun" w:hAnsi="Arial" w:cs="Arial"/>
          <w:sz w:val="20"/>
          <w:szCs w:val="20"/>
          <w:lang w:eastAsia="zh-CN"/>
        </w:rPr>
        <w:t xml:space="preserve">the </w:t>
      </w:r>
      <w:r w:rsidR="0011299B" w:rsidRPr="000E0C38">
        <w:rPr>
          <w:rFonts w:ascii="Arial" w:eastAsia="SimSun" w:hAnsi="Arial" w:cs="Arial"/>
          <w:sz w:val="20"/>
          <w:szCs w:val="20"/>
          <w:lang w:eastAsia="zh-CN"/>
        </w:rPr>
        <w:t>costs, shoul</w:t>
      </w:r>
      <w:r w:rsidR="00240511" w:rsidRPr="000E0C38">
        <w:rPr>
          <w:rFonts w:ascii="Arial" w:eastAsia="SimSun" w:hAnsi="Arial" w:cs="Arial"/>
          <w:sz w:val="20"/>
          <w:szCs w:val="20"/>
          <w:lang w:eastAsia="zh-CN"/>
        </w:rPr>
        <w:t xml:space="preserve">d </w:t>
      </w:r>
      <w:r w:rsidR="00B2409C" w:rsidRPr="000E0C38">
        <w:rPr>
          <w:rFonts w:ascii="Arial" w:eastAsia="SimSun" w:hAnsi="Arial" w:cs="Arial"/>
          <w:sz w:val="20"/>
          <w:szCs w:val="20"/>
          <w:lang w:eastAsia="zh-CN"/>
        </w:rPr>
        <w:t>there</w:t>
      </w:r>
      <w:r w:rsidR="00240511" w:rsidRPr="000E0C38">
        <w:rPr>
          <w:rFonts w:ascii="Arial" w:eastAsia="SimSun" w:hAnsi="Arial" w:cs="Arial"/>
          <w:sz w:val="20"/>
          <w:szCs w:val="20"/>
          <w:lang w:eastAsia="zh-CN"/>
        </w:rPr>
        <w:t xml:space="preserve"> be a barrier to formalis</w:t>
      </w:r>
      <w:r w:rsidR="0011299B" w:rsidRPr="000E0C38">
        <w:rPr>
          <w:rFonts w:ascii="Arial" w:eastAsia="SimSun" w:hAnsi="Arial" w:cs="Arial"/>
          <w:sz w:val="20"/>
          <w:szCs w:val="20"/>
          <w:lang w:eastAsia="zh-CN"/>
        </w:rPr>
        <w:t xml:space="preserve">ation. </w:t>
      </w:r>
    </w:p>
    <w:p w14:paraId="2FBC298C" w14:textId="77777777" w:rsidR="00EB7499" w:rsidRPr="000E0C38" w:rsidRDefault="00EB7499" w:rsidP="00831B36">
      <w:pPr>
        <w:numPr>
          <w:ilvl w:val="0"/>
          <w:numId w:val="11"/>
        </w:numPr>
        <w:spacing w:line="276" w:lineRule="auto"/>
        <w:ind w:left="284" w:hanging="284"/>
        <w:jc w:val="both"/>
        <w:rPr>
          <w:rFonts w:ascii="Arial" w:eastAsia="SimSun" w:hAnsi="Arial" w:cs="Arial"/>
          <w:sz w:val="20"/>
          <w:szCs w:val="20"/>
          <w:lang w:eastAsia="zh-CN"/>
        </w:rPr>
      </w:pPr>
      <w:r w:rsidRPr="000E0C38">
        <w:rPr>
          <w:rFonts w:ascii="Arial" w:eastAsia="SimSun" w:hAnsi="Arial" w:cs="Arial"/>
          <w:b/>
          <w:i/>
          <w:sz w:val="20"/>
          <w:szCs w:val="20"/>
          <w:lang w:eastAsia="zh-CN"/>
        </w:rPr>
        <w:t>Support workers to organise</w:t>
      </w:r>
      <w:r w:rsidRPr="000E0C38">
        <w:rPr>
          <w:rFonts w:ascii="Arial" w:eastAsia="SimSun" w:hAnsi="Arial" w:cs="Arial"/>
          <w:sz w:val="20"/>
          <w:szCs w:val="20"/>
          <w:lang w:eastAsia="zh-CN"/>
        </w:rPr>
        <w:t>, including informal and casual ones</w:t>
      </w:r>
      <w:r w:rsidR="00240511" w:rsidRPr="000E0C38">
        <w:rPr>
          <w:rFonts w:ascii="Arial" w:eastAsia="SimSun" w:hAnsi="Arial" w:cs="Arial"/>
          <w:sz w:val="20"/>
          <w:szCs w:val="20"/>
          <w:lang w:eastAsia="zh-CN"/>
        </w:rPr>
        <w:t>, and build</w:t>
      </w:r>
      <w:r w:rsidRPr="000E0C38">
        <w:rPr>
          <w:rFonts w:ascii="Arial" w:eastAsia="SimSun" w:hAnsi="Arial" w:cs="Arial"/>
          <w:sz w:val="20"/>
          <w:szCs w:val="20"/>
          <w:lang w:eastAsia="zh-CN"/>
        </w:rPr>
        <w:t xml:space="preserve"> links between trade unions and non-trade unions' organisations.</w:t>
      </w:r>
      <w:r w:rsidRPr="000E0C38">
        <w:rPr>
          <w:rFonts w:ascii="Arial" w:eastAsia="SimSun" w:hAnsi="Arial" w:cs="Arial"/>
          <w:sz w:val="20"/>
          <w:szCs w:val="20"/>
          <w:vertAlign w:val="superscript"/>
          <w:lang w:eastAsia="zh-CN"/>
        </w:rPr>
        <w:footnoteReference w:id="79"/>
      </w:r>
      <w:r w:rsidR="0011299B" w:rsidRPr="000E0C38">
        <w:rPr>
          <w:rFonts w:ascii="Arial" w:eastAsia="SimSun" w:hAnsi="Arial" w:cs="Arial"/>
          <w:sz w:val="20"/>
          <w:szCs w:val="20"/>
          <w:lang w:eastAsia="zh-CN"/>
        </w:rPr>
        <w:t xml:space="preserve"> In countries with </w:t>
      </w:r>
      <w:r w:rsidR="00240511" w:rsidRPr="000E0C38">
        <w:rPr>
          <w:rFonts w:ascii="Arial" w:eastAsia="SimSun" w:hAnsi="Arial" w:cs="Arial"/>
          <w:sz w:val="20"/>
          <w:szCs w:val="20"/>
          <w:lang w:eastAsia="zh-CN"/>
        </w:rPr>
        <w:t>a strong civil society, formalis</w:t>
      </w:r>
      <w:r w:rsidR="0011299B" w:rsidRPr="000E0C38">
        <w:rPr>
          <w:rFonts w:ascii="Arial" w:eastAsia="SimSun" w:hAnsi="Arial" w:cs="Arial"/>
          <w:sz w:val="20"/>
          <w:szCs w:val="20"/>
          <w:lang w:eastAsia="zh-CN"/>
        </w:rPr>
        <w:t>ed institutions can help in the aggregation of members</w:t>
      </w:r>
      <w:r w:rsidR="00240511" w:rsidRPr="000E0C38">
        <w:rPr>
          <w:rFonts w:ascii="Arial" w:eastAsia="SimSun" w:hAnsi="Arial" w:cs="Arial"/>
          <w:sz w:val="20"/>
          <w:szCs w:val="20"/>
          <w:lang w:eastAsia="zh-CN"/>
        </w:rPr>
        <w:t>,</w:t>
      </w:r>
      <w:r w:rsidR="0011299B" w:rsidRPr="000E0C38">
        <w:rPr>
          <w:rFonts w:ascii="Arial" w:eastAsia="SimSun" w:hAnsi="Arial" w:cs="Arial"/>
          <w:sz w:val="20"/>
          <w:szCs w:val="20"/>
          <w:lang w:eastAsia="zh-CN"/>
        </w:rPr>
        <w:t xml:space="preserve"> and</w:t>
      </w:r>
      <w:r w:rsidR="00240511" w:rsidRPr="000E0C38">
        <w:rPr>
          <w:rFonts w:ascii="Arial" w:eastAsia="SimSun" w:hAnsi="Arial" w:cs="Arial"/>
          <w:sz w:val="20"/>
          <w:szCs w:val="20"/>
          <w:lang w:eastAsia="zh-CN"/>
        </w:rPr>
        <w:t xml:space="preserve"> in</w:t>
      </w:r>
      <w:r w:rsidR="0011299B" w:rsidRPr="000E0C38">
        <w:rPr>
          <w:rFonts w:ascii="Arial" w:eastAsia="SimSun" w:hAnsi="Arial" w:cs="Arial"/>
          <w:sz w:val="20"/>
          <w:szCs w:val="20"/>
          <w:lang w:eastAsia="zh-CN"/>
        </w:rPr>
        <w:t xml:space="preserve"> this way reduce informality. </w:t>
      </w:r>
    </w:p>
    <w:p w14:paraId="6092B773" w14:textId="63DFA41C" w:rsidR="00EB7499" w:rsidRPr="000E0C38" w:rsidRDefault="00EB7499" w:rsidP="00831B36">
      <w:pPr>
        <w:numPr>
          <w:ilvl w:val="0"/>
          <w:numId w:val="11"/>
        </w:numPr>
        <w:spacing w:after="120" w:line="276" w:lineRule="auto"/>
        <w:ind w:left="284" w:hanging="284"/>
        <w:contextualSpacing/>
        <w:jc w:val="both"/>
        <w:rPr>
          <w:rFonts w:ascii="Arial" w:eastAsia="SimSun" w:hAnsi="Arial" w:cs="Arial"/>
          <w:sz w:val="20"/>
          <w:szCs w:val="20"/>
          <w:lang w:eastAsia="zh-CN"/>
        </w:rPr>
      </w:pPr>
      <w:r w:rsidRPr="000E0C38">
        <w:rPr>
          <w:rFonts w:ascii="Arial" w:eastAsia="SimSun" w:hAnsi="Arial" w:cs="Arial"/>
          <w:b/>
          <w:i/>
          <w:sz w:val="20"/>
          <w:szCs w:val="20"/>
          <w:lang w:eastAsia="zh-CN"/>
        </w:rPr>
        <w:t>Extend social protection floors</w:t>
      </w:r>
      <w:r w:rsidRPr="000E0C38">
        <w:rPr>
          <w:rFonts w:ascii="Arial" w:eastAsia="SimSun" w:hAnsi="Arial" w:cs="Arial"/>
          <w:sz w:val="20"/>
          <w:szCs w:val="20"/>
          <w:lang w:eastAsia="zh-CN"/>
        </w:rPr>
        <w:t xml:space="preserve"> to mitigate the possible negative impact of flexible work arrangements on incomes. </w:t>
      </w:r>
      <w:r w:rsidR="0011299B" w:rsidRPr="000E0C38">
        <w:rPr>
          <w:rFonts w:ascii="Arial" w:eastAsia="SimSun" w:hAnsi="Arial" w:cs="Arial"/>
          <w:sz w:val="20"/>
          <w:szCs w:val="20"/>
          <w:lang w:eastAsia="zh-CN"/>
        </w:rPr>
        <w:t>Informality is many times associated with negative working conditions, including a poor OSH record. Social protection interventio</w:t>
      </w:r>
      <w:r w:rsidR="00240511" w:rsidRPr="000E0C38">
        <w:rPr>
          <w:rFonts w:ascii="Arial" w:eastAsia="SimSun" w:hAnsi="Arial" w:cs="Arial"/>
          <w:sz w:val="20"/>
          <w:szCs w:val="20"/>
          <w:lang w:eastAsia="zh-CN"/>
        </w:rPr>
        <w:t>ns can be combined with other formalis</w:t>
      </w:r>
      <w:r w:rsidR="0011299B" w:rsidRPr="000E0C38">
        <w:rPr>
          <w:rFonts w:ascii="Arial" w:eastAsia="SimSun" w:hAnsi="Arial" w:cs="Arial"/>
          <w:sz w:val="20"/>
          <w:szCs w:val="20"/>
          <w:lang w:eastAsia="zh-CN"/>
        </w:rPr>
        <w:t xml:space="preserve">ation </w:t>
      </w:r>
      <w:r w:rsidR="00240511" w:rsidRPr="000E0C38">
        <w:rPr>
          <w:rFonts w:ascii="Arial" w:eastAsia="SimSun" w:hAnsi="Arial" w:cs="Arial"/>
          <w:sz w:val="20"/>
          <w:szCs w:val="20"/>
          <w:lang w:eastAsia="zh-CN"/>
        </w:rPr>
        <w:t>interventions to help protect against</w:t>
      </w:r>
      <w:r w:rsidR="0011299B" w:rsidRPr="000E0C38">
        <w:rPr>
          <w:rFonts w:ascii="Arial" w:eastAsia="SimSun" w:hAnsi="Arial" w:cs="Arial"/>
          <w:sz w:val="20"/>
          <w:szCs w:val="20"/>
          <w:lang w:eastAsia="zh-CN"/>
        </w:rPr>
        <w:t xml:space="preserve"> such negative outcomes.</w:t>
      </w:r>
    </w:p>
    <w:p w14:paraId="15A7A329" w14:textId="70EA2848" w:rsidR="00E9013D" w:rsidRPr="000E0C38" w:rsidRDefault="00E9013D" w:rsidP="00831B36">
      <w:pPr>
        <w:numPr>
          <w:ilvl w:val="0"/>
          <w:numId w:val="11"/>
        </w:numPr>
        <w:spacing w:after="120" w:line="276" w:lineRule="auto"/>
        <w:ind w:left="284" w:hanging="284"/>
        <w:contextualSpacing/>
        <w:jc w:val="both"/>
        <w:rPr>
          <w:rFonts w:ascii="Arial" w:eastAsia="SimSun" w:hAnsi="Arial" w:cs="Arial"/>
          <w:sz w:val="20"/>
          <w:szCs w:val="20"/>
          <w:lang w:eastAsia="zh-CN"/>
        </w:rPr>
      </w:pPr>
      <w:r w:rsidRPr="000E0C38">
        <w:rPr>
          <w:rFonts w:ascii="Arial" w:eastAsia="SimSun" w:hAnsi="Arial" w:cs="Arial"/>
          <w:b/>
          <w:i/>
          <w:sz w:val="20"/>
          <w:szCs w:val="20"/>
          <w:lang w:eastAsia="zh-CN"/>
        </w:rPr>
        <w:t xml:space="preserve">Licensing intermediaries and </w:t>
      </w:r>
      <w:proofErr w:type="spellStart"/>
      <w:r w:rsidRPr="000E0C38">
        <w:rPr>
          <w:rFonts w:ascii="Arial" w:eastAsia="SimSun" w:hAnsi="Arial" w:cs="Arial"/>
          <w:b/>
          <w:i/>
          <w:sz w:val="20"/>
          <w:szCs w:val="20"/>
          <w:lang w:eastAsia="zh-CN"/>
        </w:rPr>
        <w:t>gangmasters</w:t>
      </w:r>
      <w:proofErr w:type="spellEnd"/>
      <w:r w:rsidRPr="000E0C38">
        <w:rPr>
          <w:rFonts w:ascii="Arial" w:eastAsia="SimSun" w:hAnsi="Arial" w:cs="Arial"/>
          <w:b/>
          <w:i/>
          <w:sz w:val="20"/>
          <w:szCs w:val="20"/>
          <w:lang w:eastAsia="zh-CN"/>
        </w:rPr>
        <w:t xml:space="preserve"> </w:t>
      </w:r>
      <w:r w:rsidRPr="000E0C38">
        <w:rPr>
          <w:rFonts w:ascii="Arial" w:eastAsia="SimSun" w:hAnsi="Arial" w:cs="Arial"/>
          <w:sz w:val="20"/>
          <w:szCs w:val="20"/>
          <w:lang w:eastAsia="zh-CN"/>
        </w:rPr>
        <w:t xml:space="preserve">to ensure that they follow appropriate standards, pay wages due to workers, and increase accountability and transparency in the labour supply chain, potentially drawing upon the model of the </w:t>
      </w:r>
      <w:proofErr w:type="spellStart"/>
      <w:r w:rsidRPr="000E0C38">
        <w:rPr>
          <w:rFonts w:ascii="Arial" w:eastAsia="SimSun" w:hAnsi="Arial" w:cs="Arial"/>
          <w:sz w:val="20"/>
          <w:szCs w:val="20"/>
          <w:lang w:eastAsia="zh-CN"/>
        </w:rPr>
        <w:t>Gangmasters</w:t>
      </w:r>
      <w:proofErr w:type="spellEnd"/>
      <w:r w:rsidRPr="000E0C38">
        <w:rPr>
          <w:rFonts w:ascii="Arial" w:eastAsia="SimSun" w:hAnsi="Arial" w:cs="Arial"/>
          <w:sz w:val="20"/>
          <w:szCs w:val="20"/>
          <w:lang w:eastAsia="zh-CN"/>
        </w:rPr>
        <w:t xml:space="preserve"> Licensing and Abuse Authority in the UK.</w:t>
      </w:r>
    </w:p>
    <w:p w14:paraId="5AF06561" w14:textId="77777777" w:rsidR="00E9013D" w:rsidRPr="000E0C38" w:rsidRDefault="00E9013D" w:rsidP="000E0C38">
      <w:pPr>
        <w:spacing w:after="120" w:line="276" w:lineRule="auto"/>
        <w:contextualSpacing/>
        <w:jc w:val="both"/>
        <w:rPr>
          <w:rFonts w:eastAsia="SimSun" w:cstheme="minorHAnsi"/>
          <w:sz w:val="20"/>
          <w:szCs w:val="20"/>
          <w:lang w:eastAsia="zh-CN"/>
        </w:rPr>
      </w:pPr>
    </w:p>
    <w:p w14:paraId="77949D93" w14:textId="139F2237" w:rsidR="00EB7499" w:rsidRPr="000E0C38" w:rsidRDefault="00EB7499" w:rsidP="00432BEF">
      <w:pPr>
        <w:spacing w:after="240" w:line="276" w:lineRule="auto"/>
        <w:jc w:val="both"/>
        <w:rPr>
          <w:rFonts w:eastAsia="SimSun" w:cstheme="minorHAnsi"/>
          <w:sz w:val="20"/>
          <w:szCs w:val="20"/>
          <w:lang w:eastAsia="zh-CN"/>
        </w:rPr>
      </w:pPr>
      <w:r w:rsidRPr="000E0C38">
        <w:rPr>
          <w:rFonts w:eastAsia="SimSun" w:cstheme="minorHAnsi"/>
          <w:sz w:val="20"/>
          <w:szCs w:val="20"/>
          <w:lang w:eastAsia="zh-CN"/>
        </w:rPr>
        <w:t>Challenges to promoting the formalisation of employment include underfunded and inadequate labour enforcement institutions, high corporate taxes and bureaucratic mechanisms, and low company performance</w:t>
      </w:r>
      <w:r w:rsidR="0070308D" w:rsidRPr="000E0C38">
        <w:rPr>
          <w:rFonts w:eastAsia="SimSun" w:cstheme="minorHAnsi"/>
          <w:sz w:val="20"/>
          <w:szCs w:val="20"/>
          <w:lang w:eastAsia="zh-CN"/>
        </w:rPr>
        <w:t>. These</w:t>
      </w:r>
      <w:r w:rsidRPr="000E0C38">
        <w:rPr>
          <w:rFonts w:eastAsia="SimSun" w:cstheme="minorHAnsi"/>
          <w:sz w:val="20"/>
          <w:szCs w:val="20"/>
          <w:lang w:eastAsia="zh-CN"/>
        </w:rPr>
        <w:t xml:space="preserve"> affect all DFID countries of focus to a greater or lesser extent except Sierra Leone, Uganda and Myanmar. Interventions supporting social partners such as trade unions and civil society organisations are only effective when low productivity issues are addressed. In many DFID countries formalisation is hampered by excessive formalisation costs </w:t>
      </w:r>
      <w:r w:rsidR="0070308D" w:rsidRPr="000E0C38">
        <w:rPr>
          <w:rFonts w:eastAsia="SimSun" w:cstheme="minorHAnsi"/>
          <w:sz w:val="20"/>
          <w:szCs w:val="20"/>
          <w:lang w:eastAsia="zh-CN"/>
        </w:rPr>
        <w:t>(</w:t>
      </w:r>
      <w:r w:rsidRPr="000E0C38">
        <w:rPr>
          <w:rFonts w:eastAsia="SimSun" w:cstheme="minorHAnsi"/>
          <w:sz w:val="20"/>
          <w:szCs w:val="20"/>
          <w:lang w:eastAsia="zh-CN"/>
        </w:rPr>
        <w:t>including licenses and taxes</w:t>
      </w:r>
      <w:r w:rsidR="0070308D" w:rsidRPr="000E0C38">
        <w:rPr>
          <w:rFonts w:eastAsia="SimSun" w:cstheme="minorHAnsi"/>
          <w:sz w:val="20"/>
          <w:szCs w:val="20"/>
          <w:lang w:eastAsia="zh-CN"/>
        </w:rPr>
        <w:t>)</w:t>
      </w:r>
      <w:r w:rsidRPr="000E0C38">
        <w:rPr>
          <w:rFonts w:eastAsia="SimSun" w:cstheme="minorHAnsi"/>
          <w:sz w:val="20"/>
          <w:szCs w:val="20"/>
          <w:lang w:eastAsia="zh-CN"/>
        </w:rPr>
        <w:t xml:space="preserve"> and </w:t>
      </w:r>
      <w:r w:rsidR="006545DE" w:rsidRPr="000E0C38">
        <w:rPr>
          <w:rFonts w:eastAsia="SimSun" w:cstheme="minorHAnsi"/>
          <w:sz w:val="20"/>
          <w:szCs w:val="20"/>
          <w:lang w:eastAsia="zh-CN"/>
        </w:rPr>
        <w:t xml:space="preserve">sometimes </w:t>
      </w:r>
      <w:r w:rsidRPr="000E0C38">
        <w:rPr>
          <w:rFonts w:eastAsia="SimSun" w:cstheme="minorHAnsi"/>
          <w:sz w:val="20"/>
          <w:szCs w:val="20"/>
          <w:lang w:eastAsia="zh-CN"/>
        </w:rPr>
        <w:t xml:space="preserve">unclear administrative procedures </w:t>
      </w:r>
      <w:r w:rsidR="006545DE" w:rsidRPr="000E0C38">
        <w:rPr>
          <w:rFonts w:eastAsia="SimSun" w:cstheme="minorHAnsi"/>
          <w:sz w:val="20"/>
          <w:szCs w:val="20"/>
          <w:lang w:eastAsia="zh-CN"/>
        </w:rPr>
        <w:t>to register a business</w:t>
      </w:r>
      <w:r w:rsidRPr="000E0C38">
        <w:rPr>
          <w:rFonts w:eastAsia="SimSun" w:cstheme="minorHAnsi"/>
          <w:sz w:val="20"/>
          <w:szCs w:val="20"/>
          <w:lang w:eastAsia="zh-CN"/>
        </w:rPr>
        <w:t xml:space="preserve">. </w:t>
      </w:r>
    </w:p>
    <w:p w14:paraId="70BB7F64" w14:textId="77777777" w:rsidR="009809C2" w:rsidRPr="000E0C38" w:rsidRDefault="009809C2" w:rsidP="00432BEF">
      <w:pPr>
        <w:spacing w:after="240" w:line="276" w:lineRule="auto"/>
        <w:jc w:val="both"/>
        <w:rPr>
          <w:rFonts w:eastAsia="SimSun" w:cstheme="minorHAnsi"/>
          <w:sz w:val="20"/>
          <w:szCs w:val="20"/>
          <w:lang w:eastAsia="zh-CN"/>
        </w:rPr>
      </w:pPr>
    </w:p>
    <w:p w14:paraId="1B6E18B3" w14:textId="77777777" w:rsidR="00EB7499" w:rsidRPr="000E0C38" w:rsidRDefault="00EB7499" w:rsidP="00A4783E">
      <w:pPr>
        <w:pStyle w:val="Heading2"/>
        <w:spacing w:before="0"/>
      </w:pPr>
      <w:bookmarkStart w:id="31" w:name="_Toc498019400"/>
      <w:r w:rsidRPr="000E0C38">
        <w:t>3.2 Harness</w:t>
      </w:r>
      <w:r w:rsidR="0070308D" w:rsidRPr="000E0C38">
        <w:t>ing</w:t>
      </w:r>
      <w:r w:rsidRPr="000E0C38">
        <w:t xml:space="preserve"> the benefits of foreign participation</w:t>
      </w:r>
      <w:bookmarkEnd w:id="31"/>
    </w:p>
    <w:p w14:paraId="69B64E16" w14:textId="77777777" w:rsidR="00EB7499" w:rsidRPr="000E0C38" w:rsidRDefault="00EB7499" w:rsidP="008F4768">
      <w:pPr>
        <w:spacing w:after="120" w:line="276" w:lineRule="auto"/>
        <w:rPr>
          <w:rFonts w:ascii="Arial" w:eastAsia="SimSun" w:hAnsi="Arial" w:cs="Arial"/>
          <w:sz w:val="20"/>
          <w:szCs w:val="20"/>
          <w:lang w:eastAsia="zh-CN"/>
        </w:rPr>
      </w:pPr>
      <w:r w:rsidRPr="000E0C38">
        <w:rPr>
          <w:rFonts w:ascii="Arial" w:eastAsia="SimSun" w:hAnsi="Arial" w:cs="Arial"/>
          <w:sz w:val="20"/>
          <w:szCs w:val="20"/>
          <w:lang w:eastAsia="zh-CN"/>
        </w:rPr>
        <w:t>Potential ways of harnessing the potential benefits of foreign participation in the sector in terms of skills transfer and increased local employment include the following:</w:t>
      </w:r>
    </w:p>
    <w:p w14:paraId="11DE91A3" w14:textId="77777777" w:rsidR="00353BD4" w:rsidRPr="000E0C38" w:rsidRDefault="00353BD4" w:rsidP="00831B36">
      <w:pPr>
        <w:numPr>
          <w:ilvl w:val="0"/>
          <w:numId w:val="10"/>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Skills development for the national workforce, including women and other vulnerable groups</w:t>
      </w:r>
      <w:r w:rsidR="0070308D" w:rsidRPr="000E0C38">
        <w:rPr>
          <w:rFonts w:ascii="Arial" w:eastAsia="SimSun" w:hAnsi="Arial" w:cs="Arial"/>
          <w:sz w:val="20"/>
          <w:szCs w:val="20"/>
          <w:lang w:eastAsia="zh-CN"/>
        </w:rPr>
        <w:t>.</w:t>
      </w:r>
    </w:p>
    <w:p w14:paraId="2285E66B" w14:textId="77777777" w:rsidR="00353BD4" w:rsidRPr="000E0C38" w:rsidRDefault="0070308D" w:rsidP="00831B36">
      <w:pPr>
        <w:numPr>
          <w:ilvl w:val="0"/>
          <w:numId w:val="10"/>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Raising</w:t>
      </w:r>
      <w:r w:rsidR="00353BD4" w:rsidRPr="000E0C38">
        <w:rPr>
          <w:rFonts w:ascii="Arial" w:eastAsia="SimSun" w:hAnsi="Arial" w:cs="Arial"/>
          <w:sz w:val="20"/>
          <w:szCs w:val="20"/>
          <w:lang w:eastAsia="zh-CN"/>
        </w:rPr>
        <w:t xml:space="preserve"> the awareness of main contractors about the need to engage local sub-contract</w:t>
      </w:r>
      <w:r w:rsidRPr="000E0C38">
        <w:rPr>
          <w:rFonts w:ascii="Arial" w:eastAsia="SimSun" w:hAnsi="Arial" w:cs="Arial"/>
          <w:sz w:val="20"/>
          <w:szCs w:val="20"/>
          <w:lang w:eastAsia="zh-CN"/>
        </w:rPr>
        <w:t>ors.</w:t>
      </w:r>
    </w:p>
    <w:p w14:paraId="05E5664D" w14:textId="77777777" w:rsidR="00353BD4" w:rsidRPr="000E0C38" w:rsidRDefault="0070308D" w:rsidP="00831B36">
      <w:pPr>
        <w:numPr>
          <w:ilvl w:val="0"/>
          <w:numId w:val="10"/>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Promoting</w:t>
      </w:r>
      <w:r w:rsidR="00353BD4" w:rsidRPr="000E0C38">
        <w:rPr>
          <w:rFonts w:ascii="Arial" w:eastAsia="SimSun" w:hAnsi="Arial" w:cs="Arial"/>
          <w:sz w:val="20"/>
          <w:szCs w:val="20"/>
          <w:lang w:eastAsia="zh-CN"/>
        </w:rPr>
        <w:t xml:space="preserve"> cooperation between foreign and national contractors, through the organi</w:t>
      </w:r>
      <w:r w:rsidRPr="000E0C38">
        <w:rPr>
          <w:rFonts w:ascii="Arial" w:eastAsia="SimSun" w:hAnsi="Arial" w:cs="Arial"/>
          <w:sz w:val="20"/>
          <w:szCs w:val="20"/>
          <w:lang w:eastAsia="zh-CN"/>
        </w:rPr>
        <w:t>sation of</w:t>
      </w:r>
      <w:r w:rsidR="00353BD4" w:rsidRPr="000E0C38">
        <w:rPr>
          <w:rFonts w:ascii="Arial" w:eastAsia="SimSun" w:hAnsi="Arial" w:cs="Arial"/>
          <w:sz w:val="20"/>
          <w:szCs w:val="20"/>
          <w:lang w:eastAsia="zh-CN"/>
        </w:rPr>
        <w:t xml:space="preserve"> sector conventions, conferences and workshops.</w:t>
      </w:r>
    </w:p>
    <w:p w14:paraId="4C9239C4" w14:textId="77777777" w:rsidR="00353BD4" w:rsidRPr="000E0C38" w:rsidRDefault="00353BD4" w:rsidP="00831B36">
      <w:pPr>
        <w:numPr>
          <w:ilvl w:val="0"/>
          <w:numId w:val="10"/>
        </w:numPr>
        <w:spacing w:after="120"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Approval and enforcement of anti-trust policy tools and transparency measures to increase competition among contractors.</w:t>
      </w:r>
    </w:p>
    <w:p w14:paraId="20BEEAF9" w14:textId="77777777" w:rsidR="00EB7499" w:rsidRPr="000E0C38" w:rsidRDefault="00EB7499"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In p</w:t>
      </w:r>
      <w:r w:rsidR="0011299B" w:rsidRPr="000E0C38">
        <w:rPr>
          <w:rFonts w:ascii="Arial" w:eastAsia="SimSun" w:hAnsi="Arial" w:cs="Arial"/>
          <w:sz w:val="20"/>
          <w:szCs w:val="20"/>
          <w:lang w:eastAsia="zh-CN"/>
        </w:rPr>
        <w:t>ublic works commissioned by national, regional and local governments:</w:t>
      </w:r>
    </w:p>
    <w:p w14:paraId="574912F8" w14:textId="77777777" w:rsidR="00EB7499" w:rsidRPr="000E0C38" w:rsidRDefault="00EB7499" w:rsidP="00831B36">
      <w:pPr>
        <w:numPr>
          <w:ilvl w:val="0"/>
          <w:numId w:val="10"/>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Use of labour-intensive techniques</w:t>
      </w:r>
      <w:r w:rsidR="0011299B" w:rsidRPr="000E0C38">
        <w:rPr>
          <w:rFonts w:ascii="Arial" w:eastAsia="SimSun" w:hAnsi="Arial" w:cs="Arial"/>
          <w:sz w:val="20"/>
          <w:szCs w:val="20"/>
          <w:lang w:eastAsia="zh-CN"/>
        </w:rPr>
        <w:t>. The use of labour-intensive techniques can be promoted in order to increase the general labour demand for construction. Such techniques typically increase the demand for low-skilled workers which are likely to be nationals.</w:t>
      </w:r>
    </w:p>
    <w:p w14:paraId="29699CFF" w14:textId="77777777" w:rsidR="00EB7499" w:rsidRPr="000E0C38" w:rsidRDefault="00EB7499" w:rsidP="00831B36">
      <w:pPr>
        <w:numPr>
          <w:ilvl w:val="0"/>
          <w:numId w:val="10"/>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Breakdown of contracts to enable the participation of SMEs.</w:t>
      </w:r>
      <w:r w:rsidR="0011299B" w:rsidRPr="000E0C38">
        <w:rPr>
          <w:rFonts w:ascii="Arial" w:eastAsia="SimSun" w:hAnsi="Arial" w:cs="Arial"/>
          <w:sz w:val="20"/>
          <w:szCs w:val="20"/>
          <w:lang w:eastAsia="zh-CN"/>
        </w:rPr>
        <w:t xml:space="preserve"> In many cases MSMEs do not have the managerial, human and financial capacity to participate in large infrastructure tenders. By breaking down construction contracts local enterprises can increase their participation in public works.</w:t>
      </w:r>
    </w:p>
    <w:p w14:paraId="53B8A180" w14:textId="77777777" w:rsidR="00EB7499" w:rsidRPr="000E0C38" w:rsidRDefault="00EB7499" w:rsidP="00831B36">
      <w:pPr>
        <w:numPr>
          <w:ilvl w:val="0"/>
          <w:numId w:val="10"/>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Instalment of quotas on the engagement of unskilled foreign work</w:t>
      </w:r>
      <w:r w:rsidR="0070308D" w:rsidRPr="000E0C38">
        <w:rPr>
          <w:rFonts w:ascii="Arial" w:eastAsia="SimSun" w:hAnsi="Arial" w:cs="Arial"/>
          <w:sz w:val="20"/>
          <w:szCs w:val="20"/>
          <w:lang w:eastAsia="zh-CN"/>
        </w:rPr>
        <w:t>ers.</w:t>
      </w:r>
      <w:r w:rsidR="00353BD4" w:rsidRPr="000E0C38">
        <w:rPr>
          <w:rFonts w:ascii="Arial" w:eastAsia="SimSun" w:hAnsi="Arial" w:cs="Arial"/>
          <w:sz w:val="20"/>
          <w:szCs w:val="20"/>
          <w:lang w:eastAsia="zh-CN"/>
        </w:rPr>
        <w:t xml:space="preserve"> Governments can include provisions when selecting a specific tender offer.</w:t>
      </w:r>
    </w:p>
    <w:p w14:paraId="6D18948C" w14:textId="77777777" w:rsidR="00EB7499" w:rsidRPr="000E0C38" w:rsidRDefault="00EB7499" w:rsidP="00831B36">
      <w:pPr>
        <w:numPr>
          <w:ilvl w:val="0"/>
          <w:numId w:val="10"/>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Preference for using local materials</w:t>
      </w:r>
      <w:r w:rsidR="00353BD4" w:rsidRPr="000E0C38">
        <w:rPr>
          <w:rFonts w:ascii="Arial" w:eastAsia="SimSun" w:hAnsi="Arial" w:cs="Arial"/>
          <w:sz w:val="20"/>
          <w:szCs w:val="20"/>
          <w:lang w:eastAsia="zh-CN"/>
        </w:rPr>
        <w:t>. With the obligation of procuring locally, local employment related to material production and transformation can be generated.</w:t>
      </w:r>
      <w:r w:rsidRPr="000E0C38">
        <w:rPr>
          <w:rFonts w:ascii="Arial" w:eastAsia="SimSun" w:hAnsi="Arial" w:cs="Arial"/>
          <w:sz w:val="20"/>
          <w:szCs w:val="20"/>
          <w:lang w:eastAsia="zh-CN"/>
        </w:rPr>
        <w:t xml:space="preserve"> </w:t>
      </w:r>
    </w:p>
    <w:p w14:paraId="6307B206" w14:textId="77777777" w:rsidR="00DA342F" w:rsidRPr="000E0C38" w:rsidRDefault="00EB7499" w:rsidP="00831B36">
      <w:pPr>
        <w:numPr>
          <w:ilvl w:val="0"/>
          <w:numId w:val="10"/>
        </w:numPr>
        <w:spacing w:after="120"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Inclusion of business and social provisions in public procurement processes requiring a minimum engagement of national contractors, local workers</w:t>
      </w:r>
      <w:r w:rsidR="002A6FD4"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quotas for women</w:t>
      </w:r>
      <w:r w:rsidR="002A6FD4" w:rsidRPr="000E0C38">
        <w:rPr>
          <w:rFonts w:ascii="Arial" w:eastAsia="SimSun" w:hAnsi="Arial" w:cs="Arial"/>
          <w:sz w:val="20"/>
          <w:szCs w:val="20"/>
          <w:lang w:eastAsia="zh-CN"/>
        </w:rPr>
        <w:t>, or specific working conditions</w:t>
      </w:r>
      <w:r w:rsidR="00FF2957" w:rsidRPr="000E0C38">
        <w:rPr>
          <w:rFonts w:ascii="Arial" w:eastAsia="SimSun" w:hAnsi="Arial" w:cs="Arial"/>
          <w:sz w:val="20"/>
          <w:szCs w:val="20"/>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497"/>
      </w:tblGrid>
      <w:tr w:rsidR="0070308D" w:rsidRPr="000E0C38" w14:paraId="579AE996" w14:textId="77777777" w:rsidTr="00432BEF">
        <w:tc>
          <w:tcPr>
            <w:tcW w:w="9606" w:type="dxa"/>
            <w:shd w:val="clear" w:color="auto" w:fill="E7E6E6" w:themeFill="background2"/>
          </w:tcPr>
          <w:p w14:paraId="39457110" w14:textId="401BC8CF" w:rsidR="0070308D" w:rsidRPr="000E0C38" w:rsidRDefault="00076E1B" w:rsidP="008F4768">
            <w:pPr>
              <w:autoSpaceDE w:val="0"/>
              <w:autoSpaceDN w:val="0"/>
              <w:adjustRightInd w:val="0"/>
              <w:spacing w:before="40" w:after="120" w:line="276" w:lineRule="auto"/>
              <w:rPr>
                <w:rFonts w:ascii="Arial" w:eastAsia="SimSun" w:hAnsi="Arial" w:cs="Arial"/>
                <w:b/>
                <w:sz w:val="20"/>
                <w:szCs w:val="20"/>
              </w:rPr>
            </w:pPr>
            <w:r w:rsidRPr="000E0C38">
              <w:rPr>
                <w:rFonts w:ascii="Arial" w:eastAsia="SimSun" w:hAnsi="Arial" w:cs="Arial"/>
                <w:b/>
                <w:sz w:val="20"/>
                <w:szCs w:val="20"/>
              </w:rPr>
              <w:t>BOX 2</w:t>
            </w:r>
            <w:r w:rsidR="004320CA" w:rsidRPr="000E0C38">
              <w:rPr>
                <w:rFonts w:ascii="Arial" w:eastAsia="SimSun" w:hAnsi="Arial" w:cs="Arial"/>
                <w:b/>
                <w:sz w:val="20"/>
                <w:szCs w:val="20"/>
              </w:rPr>
              <w:t xml:space="preserve">: </w:t>
            </w:r>
            <w:r w:rsidR="0070308D" w:rsidRPr="000E0C38">
              <w:rPr>
                <w:rFonts w:ascii="Arial" w:eastAsia="SimSun" w:hAnsi="Arial" w:cs="Arial"/>
                <w:b/>
                <w:sz w:val="20"/>
                <w:szCs w:val="20"/>
              </w:rPr>
              <w:t>Promoting decent work through public procurement</w:t>
            </w:r>
          </w:p>
          <w:p w14:paraId="380F4755" w14:textId="77777777" w:rsidR="0070308D" w:rsidRPr="000E0C38" w:rsidRDefault="0070308D" w:rsidP="00432BEF">
            <w:pPr>
              <w:autoSpaceDE w:val="0"/>
              <w:autoSpaceDN w:val="0"/>
              <w:adjustRightInd w:val="0"/>
              <w:spacing w:before="40" w:after="120" w:line="276" w:lineRule="auto"/>
              <w:jc w:val="both"/>
              <w:rPr>
                <w:rFonts w:ascii="Arial" w:eastAsia="SimSun" w:hAnsi="Arial" w:cs="Arial"/>
                <w:sz w:val="20"/>
                <w:szCs w:val="20"/>
              </w:rPr>
            </w:pPr>
            <w:r w:rsidRPr="000E0C38">
              <w:rPr>
                <w:rFonts w:ascii="Arial" w:eastAsia="SimSun" w:hAnsi="Arial" w:cs="Arial"/>
                <w:sz w:val="20"/>
                <w:szCs w:val="20"/>
              </w:rPr>
              <w:t>In 2006 the World Bank’s executive board adopted the new IFC Policy and Performance Standards on Social and Environmental Sustainability and started to apply them to all new IFC loans and investments.</w:t>
            </w:r>
            <w:r w:rsidRPr="000E0C38">
              <w:rPr>
                <w:rStyle w:val="FootnoteReference"/>
                <w:rFonts w:ascii="Arial" w:eastAsia="SimSun" w:hAnsi="Arial" w:cs="Arial"/>
                <w:sz w:val="20"/>
                <w:szCs w:val="20"/>
              </w:rPr>
              <w:footnoteReference w:id="80"/>
            </w:r>
            <w:r w:rsidRPr="000E0C38">
              <w:rPr>
                <w:rFonts w:ascii="Arial" w:eastAsia="SimSun" w:hAnsi="Arial" w:cs="Arial"/>
                <w:sz w:val="20"/>
                <w:szCs w:val="20"/>
              </w:rPr>
              <w:t xml:space="preserve"> In addition to making observance of</w:t>
            </w:r>
            <w:r w:rsidR="00B16C8B" w:rsidRPr="000E0C38">
              <w:rPr>
                <w:rFonts w:ascii="Arial" w:eastAsia="SimSun" w:hAnsi="Arial" w:cs="Arial"/>
                <w:sz w:val="20"/>
                <w:szCs w:val="20"/>
              </w:rPr>
              <w:t xml:space="preserve"> Core Labour Standards (</w:t>
            </w:r>
            <w:r w:rsidRPr="000E0C38">
              <w:rPr>
                <w:rFonts w:ascii="Arial" w:eastAsia="SimSun" w:hAnsi="Arial" w:cs="Arial"/>
                <w:sz w:val="20"/>
                <w:szCs w:val="20"/>
              </w:rPr>
              <w:t>CLS</w:t>
            </w:r>
            <w:r w:rsidR="00B16C8B" w:rsidRPr="000E0C38">
              <w:rPr>
                <w:rFonts w:ascii="Arial" w:eastAsia="SimSun" w:hAnsi="Arial" w:cs="Arial"/>
                <w:sz w:val="20"/>
                <w:szCs w:val="20"/>
              </w:rPr>
              <w:t>)</w:t>
            </w:r>
            <w:r w:rsidRPr="000E0C38">
              <w:rPr>
                <w:rFonts w:ascii="Arial" w:eastAsia="SimSun" w:hAnsi="Arial" w:cs="Arial"/>
                <w:sz w:val="20"/>
                <w:szCs w:val="20"/>
              </w:rPr>
              <w:t xml:space="preserve"> an obligation for all projects, the IFC’s “Performance Standard 2: Labour and Working Conditions” (PS 2) requires that borrowers meet other basic labour conditions in relation to human resources management, retrenchment, OSH, and supply chain management. These clauses were applied when IFC financed the construction of the </w:t>
            </w:r>
            <w:proofErr w:type="spellStart"/>
            <w:r w:rsidRPr="000E0C38">
              <w:rPr>
                <w:rFonts w:ascii="Arial" w:eastAsia="SimSun" w:hAnsi="Arial" w:cs="Arial"/>
                <w:sz w:val="20"/>
                <w:szCs w:val="20"/>
              </w:rPr>
              <w:t>Bujagali</w:t>
            </w:r>
            <w:proofErr w:type="spellEnd"/>
            <w:r w:rsidRPr="000E0C38">
              <w:rPr>
                <w:rFonts w:ascii="Arial" w:eastAsia="SimSun" w:hAnsi="Arial" w:cs="Arial"/>
                <w:sz w:val="20"/>
                <w:szCs w:val="20"/>
              </w:rPr>
              <w:t xml:space="preserve"> Dam in Uganda. </w:t>
            </w:r>
            <w:r w:rsidRPr="000E0C38">
              <w:t xml:space="preserve"> </w:t>
            </w:r>
            <w:r w:rsidRPr="000E0C38">
              <w:rPr>
                <w:rFonts w:ascii="Arial" w:eastAsia="SimSun" w:hAnsi="Arial" w:cs="Arial"/>
                <w:sz w:val="20"/>
                <w:szCs w:val="20"/>
              </w:rPr>
              <w:t>Between 600 and 2000 construction workers worked on site during the different stages of construction, including approximately 400 migrant workers from neighbouring countries.</w:t>
            </w:r>
          </w:p>
          <w:p w14:paraId="3D305D86" w14:textId="77777777" w:rsidR="0070308D" w:rsidRPr="000E0C38" w:rsidRDefault="0070308D" w:rsidP="00432BEF">
            <w:pPr>
              <w:autoSpaceDE w:val="0"/>
              <w:autoSpaceDN w:val="0"/>
              <w:adjustRightInd w:val="0"/>
              <w:spacing w:before="40" w:after="120" w:line="276" w:lineRule="auto"/>
              <w:jc w:val="both"/>
              <w:rPr>
                <w:rFonts w:ascii="Arial" w:eastAsia="SimSun" w:hAnsi="Arial" w:cs="Arial"/>
                <w:sz w:val="20"/>
                <w:szCs w:val="20"/>
              </w:rPr>
            </w:pPr>
            <w:r w:rsidRPr="000E0C38">
              <w:rPr>
                <w:rFonts w:ascii="Arial" w:eastAsia="SimSun" w:hAnsi="Arial" w:cs="Arial"/>
                <w:sz w:val="20"/>
                <w:szCs w:val="20"/>
              </w:rPr>
              <w:t>Thanks to the involvement of the global construction trade union (BWI), site union organisers were trained, and safety and health committees were created and trained. Additionally, there were visits to large construction sites for practical inspections, and interviews with management and workers to improve OSH outcomes. More generally, workers received OSH training and related equipment at the workplace.</w:t>
            </w:r>
          </w:p>
          <w:p w14:paraId="0380A8C3" w14:textId="658F2505" w:rsidR="0070308D" w:rsidRPr="000E0C38" w:rsidRDefault="0070308D" w:rsidP="00432BEF">
            <w:pPr>
              <w:spacing w:before="40" w:after="120" w:line="276" w:lineRule="auto"/>
              <w:jc w:val="both"/>
              <w:rPr>
                <w:rFonts w:ascii="Arial" w:eastAsia="SimSun" w:hAnsi="Arial" w:cs="Arial"/>
                <w:sz w:val="20"/>
                <w:szCs w:val="20"/>
              </w:rPr>
            </w:pPr>
            <w:r w:rsidRPr="000E0C38">
              <w:rPr>
                <w:rFonts w:ascii="Arial" w:eastAsia="SimSun" w:hAnsi="Arial" w:cs="Arial"/>
                <w:sz w:val="20"/>
                <w:szCs w:val="20"/>
              </w:rPr>
              <w:t xml:space="preserve">When designing social provisions in public procurement, these normally limit the responsibilities to the first-tier contractor. </w:t>
            </w:r>
            <w:r w:rsidR="009809C2" w:rsidRPr="000E0C38">
              <w:rPr>
                <w:rFonts w:ascii="Arial" w:eastAsia="SimSun" w:hAnsi="Arial" w:cs="Arial"/>
                <w:sz w:val="20"/>
                <w:szCs w:val="20"/>
              </w:rPr>
              <w:t>However,</w:t>
            </w:r>
            <w:r w:rsidRPr="000E0C38">
              <w:rPr>
                <w:rFonts w:ascii="Arial" w:eastAsia="SimSun" w:hAnsi="Arial" w:cs="Arial"/>
                <w:sz w:val="20"/>
                <w:szCs w:val="20"/>
              </w:rPr>
              <w:t xml:space="preserve"> subcontracting and outsourcing provisions are increasingly included in public procurement contracts on an ad</w:t>
            </w:r>
            <w:r w:rsidR="007A3470" w:rsidRPr="000E0C38">
              <w:rPr>
                <w:rFonts w:ascii="Arial" w:eastAsia="SimSun" w:hAnsi="Arial" w:cs="Arial"/>
                <w:sz w:val="20"/>
                <w:szCs w:val="20"/>
              </w:rPr>
              <w:t xml:space="preserve"> hoc basis and generally place </w:t>
            </w:r>
            <w:r w:rsidRPr="000E0C38">
              <w:rPr>
                <w:rFonts w:ascii="Arial" w:eastAsia="SimSun" w:hAnsi="Arial" w:cs="Arial"/>
                <w:sz w:val="20"/>
                <w:szCs w:val="20"/>
              </w:rPr>
              <w:t>obligation</w:t>
            </w:r>
            <w:r w:rsidR="007A3470" w:rsidRPr="000E0C38">
              <w:rPr>
                <w:rFonts w:ascii="Arial" w:eastAsia="SimSun" w:hAnsi="Arial" w:cs="Arial"/>
                <w:sz w:val="20"/>
                <w:szCs w:val="20"/>
              </w:rPr>
              <w:t>s</w:t>
            </w:r>
            <w:r w:rsidRPr="000E0C38">
              <w:rPr>
                <w:rFonts w:ascii="Arial" w:eastAsia="SimSun" w:hAnsi="Arial" w:cs="Arial"/>
                <w:sz w:val="20"/>
                <w:szCs w:val="20"/>
              </w:rPr>
              <w:t xml:space="preserve"> on both contractors and subcontractors.</w:t>
            </w:r>
          </w:p>
          <w:p w14:paraId="79D6F476" w14:textId="77777777" w:rsidR="0070308D" w:rsidRPr="000E0C38" w:rsidRDefault="0070308D" w:rsidP="00432BEF">
            <w:pPr>
              <w:autoSpaceDE w:val="0"/>
              <w:autoSpaceDN w:val="0"/>
              <w:adjustRightInd w:val="0"/>
              <w:spacing w:before="40" w:after="120" w:line="276" w:lineRule="auto"/>
              <w:jc w:val="both"/>
              <w:rPr>
                <w:rFonts w:ascii="Arial" w:eastAsia="SimSun" w:hAnsi="Arial" w:cs="Arial"/>
                <w:sz w:val="20"/>
                <w:szCs w:val="20"/>
              </w:rPr>
            </w:pPr>
            <w:r w:rsidRPr="000E0C38">
              <w:rPr>
                <w:rFonts w:ascii="Arial" w:eastAsia="SimSun" w:hAnsi="Arial" w:cs="Arial"/>
                <w:sz w:val="20"/>
                <w:szCs w:val="20"/>
              </w:rPr>
              <w:t>Another example of an international instrument that can promote local employment through the inclusion of labour clauses in public contracts is the ILO Labour Clauses (Public Contracts) Convention, 1949 (No. 94).</w:t>
            </w:r>
            <w:r w:rsidRPr="000E0C38">
              <w:rPr>
                <w:rStyle w:val="FootnoteReference"/>
                <w:rFonts w:ascii="Arial" w:eastAsia="SimSun" w:hAnsi="Arial" w:cs="Arial"/>
                <w:sz w:val="20"/>
                <w:szCs w:val="20"/>
              </w:rPr>
              <w:footnoteReference w:id="81"/>
            </w:r>
            <w:r w:rsidRPr="000E0C38">
              <w:rPr>
                <w:rFonts w:ascii="Arial" w:eastAsia="SimSun" w:hAnsi="Arial" w:cs="Arial"/>
                <w:sz w:val="20"/>
                <w:szCs w:val="20"/>
              </w:rPr>
              <w:t xml:space="preserve"> </w:t>
            </w:r>
            <w:r w:rsidRPr="000E0C38">
              <w:t xml:space="preserve"> </w:t>
            </w:r>
            <w:r w:rsidRPr="000E0C38">
              <w:rPr>
                <w:rFonts w:ascii="Arial" w:eastAsia="SimSun" w:hAnsi="Arial" w:cs="Arial"/>
                <w:sz w:val="20"/>
                <w:szCs w:val="20"/>
              </w:rPr>
              <w:t xml:space="preserve">The Convention obliges national procurement authorities to include the protection of labour rights </w:t>
            </w:r>
            <w:r w:rsidRPr="000E0C38">
              <w:rPr>
                <w:rFonts w:ascii="Arial" w:eastAsia="SimSun" w:hAnsi="Arial" w:cs="Arial"/>
                <w:sz w:val="20"/>
                <w:szCs w:val="20"/>
              </w:rPr>
              <w:lastRenderedPageBreak/>
              <w:t>in their public tender process. These provisions should guarantee wages, hours of work</w:t>
            </w:r>
            <w:r w:rsidR="007A3470" w:rsidRPr="000E0C38">
              <w:rPr>
                <w:rFonts w:ascii="Arial" w:eastAsia="SimSun" w:hAnsi="Arial" w:cs="Arial"/>
                <w:sz w:val="20"/>
                <w:szCs w:val="20"/>
              </w:rPr>
              <w:t>,</w:t>
            </w:r>
            <w:r w:rsidRPr="000E0C38">
              <w:rPr>
                <w:rFonts w:ascii="Arial" w:eastAsia="SimSun" w:hAnsi="Arial" w:cs="Arial"/>
                <w:sz w:val="20"/>
                <w:szCs w:val="20"/>
              </w:rPr>
              <w:t xml:space="preserve"> and other working conditions at least equal to those normally observed for the kind of work in question in the area where the contract is executed.</w:t>
            </w:r>
          </w:p>
          <w:p w14:paraId="6BF60140" w14:textId="3F8C1765" w:rsidR="0070308D" w:rsidRPr="000E0C38" w:rsidRDefault="0070308D" w:rsidP="00432BEF">
            <w:pPr>
              <w:autoSpaceDE w:val="0"/>
              <w:autoSpaceDN w:val="0"/>
              <w:adjustRightInd w:val="0"/>
              <w:spacing w:before="40" w:after="120" w:line="276" w:lineRule="auto"/>
              <w:jc w:val="both"/>
              <w:rPr>
                <w:rFonts w:ascii="Arial" w:eastAsia="SimSun" w:hAnsi="Arial" w:cs="Arial"/>
                <w:sz w:val="20"/>
                <w:szCs w:val="20"/>
              </w:rPr>
            </w:pPr>
            <w:r w:rsidRPr="000E0C38">
              <w:rPr>
                <w:rFonts w:ascii="Arial" w:eastAsia="SimSun" w:hAnsi="Arial" w:cs="Arial"/>
                <w:i/>
                <w:sz w:val="16"/>
                <w:szCs w:val="16"/>
              </w:rPr>
              <w:t>Further information can be consulted in the Labour clauses (public contracts) Convention, 1949 (No.94) and Recommendation (No.84)</w:t>
            </w:r>
            <w:r w:rsidR="004320CA" w:rsidRPr="000E0C38">
              <w:rPr>
                <w:rFonts w:ascii="Arial" w:eastAsia="SimSun" w:hAnsi="Arial" w:cs="Arial"/>
                <w:i/>
                <w:sz w:val="16"/>
                <w:szCs w:val="16"/>
              </w:rPr>
              <w:t xml:space="preserve"> </w:t>
            </w:r>
            <w:hyperlink r:id="rId24" w:history="1">
              <w:r w:rsidRPr="000E0C38">
                <w:rPr>
                  <w:rStyle w:val="Hyperlink"/>
                  <w:rFonts w:ascii="Arial" w:eastAsia="SimSun" w:hAnsi="Arial" w:cs="Arial"/>
                  <w:i/>
                  <w:sz w:val="16"/>
                  <w:szCs w:val="16"/>
                </w:rPr>
                <w:t>http://www.ilo.org/wcmsp5/groups/public/@ed_norm/@normes/documents/publication/wcms_099699.pdf</w:t>
              </w:r>
            </w:hyperlink>
          </w:p>
        </w:tc>
      </w:tr>
    </w:tbl>
    <w:p w14:paraId="6D000AB6" w14:textId="77777777" w:rsidR="00EB7499" w:rsidRPr="000E0C38" w:rsidRDefault="00EB7499" w:rsidP="00432BEF">
      <w:pPr>
        <w:pStyle w:val="Heading2"/>
        <w:spacing w:before="120"/>
        <w:rPr>
          <w:lang w:eastAsia="zh-CN"/>
        </w:rPr>
      </w:pPr>
      <w:bookmarkStart w:id="32" w:name="_Toc498019401"/>
      <w:r w:rsidRPr="000E0C38">
        <w:rPr>
          <w:lang w:eastAsia="zh-CN"/>
        </w:rPr>
        <w:lastRenderedPageBreak/>
        <w:t>3.3 Addressing construction safety</w:t>
      </w:r>
      <w:r w:rsidR="007A3470" w:rsidRPr="000E0C38">
        <w:rPr>
          <w:lang w:eastAsia="zh-CN"/>
        </w:rPr>
        <w:t xml:space="preserve"> and health</w:t>
      </w:r>
      <w:bookmarkEnd w:id="32"/>
    </w:p>
    <w:p w14:paraId="35A7E58C" w14:textId="77777777" w:rsidR="00EB7499" w:rsidRPr="000E0C38" w:rsidRDefault="00EB7499" w:rsidP="008F4768">
      <w:pPr>
        <w:spacing w:after="120" w:line="276" w:lineRule="auto"/>
        <w:jc w:val="both"/>
        <w:rPr>
          <w:rFonts w:ascii="Arial" w:eastAsia="SimSun" w:hAnsi="Arial" w:cs="Arial"/>
          <w:b/>
          <w:sz w:val="20"/>
          <w:szCs w:val="20"/>
          <w:lang w:eastAsia="zh-CN"/>
        </w:rPr>
      </w:pPr>
      <w:r w:rsidRPr="000E0C38">
        <w:rPr>
          <w:rFonts w:ascii="Arial" w:eastAsia="SimSun" w:hAnsi="Arial" w:cs="Arial"/>
          <w:sz w:val="20"/>
          <w:szCs w:val="20"/>
          <w:lang w:eastAsia="zh-CN"/>
        </w:rPr>
        <w:t>Improving O</w:t>
      </w:r>
      <w:r w:rsidR="007A3470" w:rsidRPr="000E0C38">
        <w:rPr>
          <w:rFonts w:ascii="Arial" w:eastAsia="SimSun" w:hAnsi="Arial" w:cs="Arial"/>
          <w:sz w:val="20"/>
          <w:szCs w:val="20"/>
          <w:lang w:eastAsia="zh-CN"/>
        </w:rPr>
        <w:t>SH</w:t>
      </w:r>
      <w:r w:rsidRPr="000E0C38">
        <w:rPr>
          <w:rFonts w:ascii="Arial" w:eastAsia="SimSun" w:hAnsi="Arial" w:cs="Arial"/>
          <w:sz w:val="20"/>
          <w:szCs w:val="20"/>
          <w:lang w:eastAsia="zh-CN"/>
        </w:rPr>
        <w:t xml:space="preserve"> is essential to scale up quality employment and reduce fatal and non-fatal accidents and diseases related to construction work. Compliance with health and safety laws in the sector is principally the responsibility of employers, and workers have the responsibility to cooperate with arrangements put in place by the employers. Although there are numerous OSH deficits and compliance is low in most DFID countries, interventions that address O</w:t>
      </w:r>
      <w:r w:rsidR="007A3470" w:rsidRPr="000E0C38">
        <w:rPr>
          <w:rFonts w:ascii="Arial" w:eastAsia="SimSun" w:hAnsi="Arial" w:cs="Arial"/>
          <w:sz w:val="20"/>
          <w:szCs w:val="20"/>
          <w:lang w:eastAsia="zh-CN"/>
        </w:rPr>
        <w:t>SH</w:t>
      </w:r>
      <w:r w:rsidRPr="000E0C38">
        <w:rPr>
          <w:rFonts w:ascii="Arial" w:eastAsia="SimSun" w:hAnsi="Arial" w:cs="Arial"/>
          <w:sz w:val="20"/>
          <w:szCs w:val="20"/>
          <w:lang w:eastAsia="zh-CN"/>
        </w:rPr>
        <w:t xml:space="preserve"> p</w:t>
      </w:r>
      <w:r w:rsidR="007A3470" w:rsidRPr="000E0C38">
        <w:rPr>
          <w:rFonts w:ascii="Arial" w:eastAsia="SimSun" w:hAnsi="Arial" w:cs="Arial"/>
          <w:sz w:val="20"/>
          <w:szCs w:val="20"/>
          <w:lang w:eastAsia="zh-CN"/>
        </w:rPr>
        <w:t>roblems</w:t>
      </w:r>
      <w:r w:rsidRPr="000E0C38">
        <w:rPr>
          <w:rFonts w:ascii="Arial" w:eastAsia="SimSun" w:hAnsi="Arial" w:cs="Arial"/>
          <w:sz w:val="20"/>
          <w:szCs w:val="20"/>
          <w:lang w:eastAsia="zh-CN"/>
        </w:rPr>
        <w:t xml:space="preserve"> could be implemented in countries which</w:t>
      </w:r>
      <w:r w:rsidR="007A3470" w:rsidRPr="000E0C38">
        <w:rPr>
          <w:rFonts w:ascii="Arial" w:eastAsia="SimSun" w:hAnsi="Arial" w:cs="Arial"/>
          <w:sz w:val="20"/>
          <w:szCs w:val="20"/>
          <w:lang w:eastAsia="zh-CN"/>
        </w:rPr>
        <w:t xml:space="preserve"> are experiencing</w:t>
      </w:r>
      <w:r w:rsidRPr="000E0C38">
        <w:rPr>
          <w:rFonts w:ascii="Arial" w:eastAsia="SimSun" w:hAnsi="Arial" w:cs="Arial"/>
          <w:sz w:val="20"/>
          <w:szCs w:val="20"/>
          <w:lang w:eastAsia="zh-CN"/>
        </w:rPr>
        <w:t xml:space="preserve"> increase</w:t>
      </w:r>
      <w:r w:rsidR="007A3470" w:rsidRPr="000E0C38">
        <w:rPr>
          <w:rFonts w:ascii="Arial" w:eastAsia="SimSun" w:hAnsi="Arial" w:cs="Arial"/>
          <w:sz w:val="20"/>
          <w:szCs w:val="20"/>
          <w:lang w:eastAsia="zh-CN"/>
        </w:rPr>
        <w:t>d</w:t>
      </w:r>
      <w:r w:rsidRPr="000E0C38">
        <w:rPr>
          <w:rFonts w:ascii="Arial" w:eastAsia="SimSun" w:hAnsi="Arial" w:cs="Arial"/>
          <w:sz w:val="20"/>
          <w:szCs w:val="20"/>
          <w:lang w:eastAsia="zh-CN"/>
        </w:rPr>
        <w:t xml:space="preserve"> </w:t>
      </w:r>
      <w:r w:rsidR="007A3470" w:rsidRPr="000E0C38">
        <w:rPr>
          <w:rFonts w:ascii="Arial" w:eastAsia="SimSun" w:hAnsi="Arial" w:cs="Arial"/>
          <w:sz w:val="20"/>
          <w:szCs w:val="20"/>
          <w:lang w:eastAsia="zh-CN"/>
        </w:rPr>
        <w:t>construction</w:t>
      </w:r>
      <w:r w:rsidRPr="000E0C38">
        <w:rPr>
          <w:rFonts w:ascii="Arial" w:eastAsia="SimSun" w:hAnsi="Arial" w:cs="Arial"/>
          <w:sz w:val="20"/>
          <w:szCs w:val="20"/>
          <w:lang w:eastAsia="zh-CN"/>
        </w:rPr>
        <w:t xml:space="preserve"> activity, as fatality rates increase in boom cycles (see section 2 for more information). </w:t>
      </w:r>
    </w:p>
    <w:p w14:paraId="051E0866" w14:textId="77777777" w:rsidR="00EB7499" w:rsidRPr="000E0C38" w:rsidRDefault="00EB7499"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Potential policy options to address health and safety in the construction sector include:</w:t>
      </w:r>
    </w:p>
    <w:p w14:paraId="6C34F10B" w14:textId="77777777" w:rsidR="00EB7499" w:rsidRPr="000E0C38" w:rsidRDefault="007A3470" w:rsidP="00831B36">
      <w:pPr>
        <w:numPr>
          <w:ilvl w:val="0"/>
          <w:numId w:val="13"/>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Enhancing</w:t>
      </w:r>
      <w:r w:rsidR="00EB7499" w:rsidRPr="000E0C38">
        <w:rPr>
          <w:rFonts w:ascii="Arial" w:eastAsia="SimSun" w:hAnsi="Arial" w:cs="Arial"/>
          <w:sz w:val="20"/>
          <w:szCs w:val="20"/>
          <w:lang w:eastAsia="zh-CN"/>
        </w:rPr>
        <w:t xml:space="preserve"> compliance with health and safety laws in the sector by supporting effective, transparent and adequately resourced labour inspection systems.</w:t>
      </w:r>
    </w:p>
    <w:p w14:paraId="4610117B" w14:textId="77777777" w:rsidR="00EB7499" w:rsidRPr="000E0C38" w:rsidRDefault="00EB7499" w:rsidP="00831B36">
      <w:pPr>
        <w:numPr>
          <w:ilvl w:val="0"/>
          <w:numId w:val="12"/>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Capacity building of labour inspectors in sector specific competenc</w:t>
      </w:r>
      <w:r w:rsidR="007A3470" w:rsidRPr="000E0C38">
        <w:rPr>
          <w:rFonts w:ascii="Arial" w:eastAsia="SimSun" w:hAnsi="Arial" w:cs="Arial"/>
          <w:sz w:val="20"/>
          <w:szCs w:val="20"/>
          <w:lang w:eastAsia="zh-CN"/>
        </w:rPr>
        <w:t>i</w:t>
      </w:r>
      <w:r w:rsidRPr="000E0C38">
        <w:rPr>
          <w:rFonts w:ascii="Arial" w:eastAsia="SimSun" w:hAnsi="Arial" w:cs="Arial"/>
          <w:sz w:val="20"/>
          <w:szCs w:val="20"/>
          <w:lang w:eastAsia="zh-CN"/>
        </w:rPr>
        <w:t>es.</w:t>
      </w:r>
    </w:p>
    <w:p w14:paraId="717B7778" w14:textId="77777777" w:rsidR="00EB7499" w:rsidRPr="000E0C38" w:rsidRDefault="007A3470" w:rsidP="00831B36">
      <w:pPr>
        <w:numPr>
          <w:ilvl w:val="0"/>
          <w:numId w:val="12"/>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Improving</w:t>
      </w:r>
      <w:r w:rsidR="00EB7499" w:rsidRPr="000E0C38">
        <w:rPr>
          <w:rFonts w:ascii="Arial" w:eastAsia="SimSun" w:hAnsi="Arial" w:cs="Arial"/>
          <w:sz w:val="20"/>
          <w:szCs w:val="20"/>
          <w:lang w:eastAsia="zh-CN"/>
        </w:rPr>
        <w:t xml:space="preserve"> O</w:t>
      </w:r>
      <w:r w:rsidRPr="000E0C38">
        <w:rPr>
          <w:rFonts w:ascii="Arial" w:eastAsia="SimSun" w:hAnsi="Arial" w:cs="Arial"/>
          <w:sz w:val="20"/>
          <w:szCs w:val="20"/>
          <w:lang w:eastAsia="zh-CN"/>
        </w:rPr>
        <w:t>SH</w:t>
      </w:r>
      <w:r w:rsidR="00EB7499" w:rsidRPr="000E0C38">
        <w:rPr>
          <w:rFonts w:ascii="Arial" w:eastAsia="SimSun" w:hAnsi="Arial" w:cs="Arial"/>
          <w:sz w:val="20"/>
          <w:szCs w:val="20"/>
          <w:lang w:eastAsia="zh-CN"/>
        </w:rPr>
        <w:t xml:space="preserve"> governance mechanisms by implementing tripartite committees at th</w:t>
      </w:r>
      <w:r w:rsidRPr="000E0C38">
        <w:rPr>
          <w:rFonts w:ascii="Arial" w:eastAsia="SimSun" w:hAnsi="Arial" w:cs="Arial"/>
          <w:sz w:val="20"/>
          <w:szCs w:val="20"/>
          <w:lang w:eastAsia="zh-CN"/>
        </w:rPr>
        <w:t>e national and sectoral levels.</w:t>
      </w:r>
    </w:p>
    <w:p w14:paraId="28A323FE" w14:textId="77777777" w:rsidR="00EB7499" w:rsidRPr="000E0C38" w:rsidRDefault="00EB7499" w:rsidP="00831B36">
      <w:pPr>
        <w:numPr>
          <w:ilvl w:val="0"/>
          <w:numId w:val="12"/>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Support</w:t>
      </w:r>
      <w:r w:rsidR="007A3470" w:rsidRPr="000E0C38">
        <w:rPr>
          <w:rFonts w:ascii="Arial" w:eastAsia="SimSun" w:hAnsi="Arial" w:cs="Arial"/>
          <w:sz w:val="20"/>
          <w:szCs w:val="20"/>
          <w:lang w:eastAsia="zh-CN"/>
        </w:rPr>
        <w:t>ing</w:t>
      </w:r>
      <w:r w:rsidRPr="000E0C38">
        <w:rPr>
          <w:rFonts w:ascii="Arial" w:eastAsia="SimSun" w:hAnsi="Arial" w:cs="Arial"/>
          <w:sz w:val="20"/>
          <w:szCs w:val="20"/>
          <w:lang w:eastAsia="zh-CN"/>
        </w:rPr>
        <w:t xml:space="preserve"> workplace prevention measure</w:t>
      </w:r>
      <w:r w:rsidR="007A3470" w:rsidRPr="000E0C38">
        <w:rPr>
          <w:rFonts w:ascii="Arial" w:eastAsia="SimSun" w:hAnsi="Arial" w:cs="Arial"/>
          <w:sz w:val="20"/>
          <w:szCs w:val="20"/>
          <w:lang w:eastAsia="zh-CN"/>
        </w:rPr>
        <w:t>s</w:t>
      </w:r>
      <w:r w:rsidRPr="000E0C38">
        <w:rPr>
          <w:rFonts w:ascii="Arial" w:eastAsia="SimSun" w:hAnsi="Arial" w:cs="Arial"/>
          <w:sz w:val="20"/>
          <w:szCs w:val="20"/>
          <w:lang w:eastAsia="zh-CN"/>
        </w:rPr>
        <w:t xml:space="preserve"> by supporting health and safety workers’ representatives and setting up join</w:t>
      </w:r>
      <w:r w:rsidR="007A3470" w:rsidRPr="000E0C38">
        <w:rPr>
          <w:rFonts w:ascii="Arial" w:eastAsia="SimSun" w:hAnsi="Arial" w:cs="Arial"/>
          <w:sz w:val="20"/>
          <w:szCs w:val="20"/>
          <w:lang w:eastAsia="zh-CN"/>
        </w:rPr>
        <w:t>t health and safety committees.</w:t>
      </w:r>
    </w:p>
    <w:p w14:paraId="15A8823F" w14:textId="77777777" w:rsidR="00EB7499" w:rsidRPr="000E0C38" w:rsidRDefault="00EB7499" w:rsidP="00831B36">
      <w:pPr>
        <w:numPr>
          <w:ilvl w:val="0"/>
          <w:numId w:val="12"/>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Capacity building in </w:t>
      </w:r>
      <w:r w:rsidR="007A3470" w:rsidRPr="000E0C38">
        <w:rPr>
          <w:rFonts w:ascii="Arial" w:eastAsia="SimSun" w:hAnsi="Arial" w:cs="Arial"/>
          <w:sz w:val="20"/>
          <w:szCs w:val="20"/>
          <w:lang w:eastAsia="zh-CN"/>
        </w:rPr>
        <w:t>OSH on</w:t>
      </w:r>
      <w:r w:rsidRPr="000E0C38">
        <w:rPr>
          <w:rFonts w:ascii="Arial" w:eastAsia="SimSun" w:hAnsi="Arial" w:cs="Arial"/>
          <w:sz w:val="20"/>
          <w:szCs w:val="20"/>
          <w:lang w:eastAsia="zh-CN"/>
        </w:rPr>
        <w:t xml:space="preserve"> small working sites with training programs such as WISCON.</w:t>
      </w:r>
      <w:r w:rsidRPr="000E0C38">
        <w:rPr>
          <w:rFonts w:ascii="Arial" w:eastAsia="SimSun" w:hAnsi="Arial" w:cs="Arial"/>
          <w:sz w:val="20"/>
          <w:szCs w:val="20"/>
          <w:vertAlign w:val="superscript"/>
          <w:lang w:eastAsia="zh-CN"/>
        </w:rPr>
        <w:footnoteReference w:id="82"/>
      </w:r>
    </w:p>
    <w:p w14:paraId="7C995C7C" w14:textId="77777777" w:rsidR="00EB7499" w:rsidRPr="000E0C38" w:rsidRDefault="00EB7499" w:rsidP="00831B36">
      <w:pPr>
        <w:numPr>
          <w:ilvl w:val="0"/>
          <w:numId w:val="12"/>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Rais</w:t>
      </w:r>
      <w:r w:rsidR="007A3470" w:rsidRPr="000E0C38">
        <w:rPr>
          <w:rFonts w:ascii="Arial" w:eastAsia="SimSun" w:hAnsi="Arial" w:cs="Arial"/>
          <w:sz w:val="20"/>
          <w:szCs w:val="20"/>
          <w:lang w:eastAsia="zh-CN"/>
        </w:rPr>
        <w:t>ing</w:t>
      </w:r>
      <w:r w:rsidRPr="000E0C38">
        <w:rPr>
          <w:rFonts w:ascii="Arial" w:eastAsia="SimSun" w:hAnsi="Arial" w:cs="Arial"/>
          <w:sz w:val="20"/>
          <w:szCs w:val="20"/>
          <w:lang w:eastAsia="zh-CN"/>
        </w:rPr>
        <w:t xml:space="preserve"> the awareness of main contractors about the relevance of labour standards and their importance in supply chains.</w:t>
      </w:r>
    </w:p>
    <w:p w14:paraId="227E0AB1" w14:textId="77777777" w:rsidR="00EB7499" w:rsidRPr="000E0C38" w:rsidRDefault="00EB7499" w:rsidP="00831B36">
      <w:pPr>
        <w:numPr>
          <w:ilvl w:val="0"/>
          <w:numId w:val="12"/>
        </w:numPr>
        <w:spacing w:after="120"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In resource-constrained contexts with high degrees of informal employment, rotating OSH compliance teams </w:t>
      </w:r>
      <w:r w:rsidR="007A3470" w:rsidRPr="000E0C38">
        <w:rPr>
          <w:rFonts w:ascii="Arial" w:eastAsia="SimSun" w:hAnsi="Arial" w:cs="Arial"/>
          <w:sz w:val="20"/>
          <w:szCs w:val="20"/>
          <w:lang w:eastAsia="zh-CN"/>
        </w:rPr>
        <w:t xml:space="preserve">to </w:t>
      </w:r>
      <w:r w:rsidRPr="000E0C38">
        <w:rPr>
          <w:rFonts w:ascii="Arial" w:eastAsia="SimSun" w:hAnsi="Arial" w:cs="Arial"/>
          <w:sz w:val="20"/>
          <w:szCs w:val="20"/>
          <w:lang w:eastAsia="zh-CN"/>
        </w:rPr>
        <w:t>improve awareness of health and safety compliance.</w:t>
      </w:r>
    </w:p>
    <w:p w14:paraId="586CF5B3" w14:textId="77777777" w:rsidR="004F715D" w:rsidRPr="000E0C38" w:rsidRDefault="006545DE" w:rsidP="00A4783E">
      <w:pPr>
        <w:pStyle w:val="Heading2"/>
        <w:spacing w:before="0"/>
      </w:pPr>
      <w:bookmarkStart w:id="33" w:name="_Toc498019402"/>
      <w:r w:rsidRPr="000E0C38">
        <w:t>3.4</w:t>
      </w:r>
      <w:r w:rsidR="00067D95" w:rsidRPr="000E0C38">
        <w:t xml:space="preserve"> </w:t>
      </w:r>
      <w:r w:rsidR="0049603D" w:rsidRPr="000E0C38">
        <w:t>Promoting equal access to</w:t>
      </w:r>
      <w:r w:rsidR="008632F2" w:rsidRPr="000E0C38">
        <w:t xml:space="preserve"> </w:t>
      </w:r>
      <w:r w:rsidR="00342347" w:rsidRPr="000E0C38">
        <w:t xml:space="preserve">decent </w:t>
      </w:r>
      <w:r w:rsidR="0049603D" w:rsidRPr="000E0C38">
        <w:t>employment for national workers</w:t>
      </w:r>
      <w:r w:rsidR="008632F2" w:rsidRPr="000E0C38">
        <w:t xml:space="preserve"> </w:t>
      </w:r>
      <w:r w:rsidR="0049603D" w:rsidRPr="000E0C38">
        <w:t>(</w:t>
      </w:r>
      <w:r w:rsidR="008632F2" w:rsidRPr="000E0C38">
        <w:t>including women</w:t>
      </w:r>
      <w:r w:rsidR="0049603D" w:rsidRPr="000E0C38">
        <w:t>)</w:t>
      </w:r>
      <w:bookmarkEnd w:id="33"/>
      <w:r w:rsidR="008632F2" w:rsidRPr="000E0C38">
        <w:t xml:space="preserve"> </w:t>
      </w:r>
    </w:p>
    <w:p w14:paraId="671AC637" w14:textId="77777777" w:rsidR="00B72528" w:rsidRPr="000E0C38" w:rsidRDefault="001449D3"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The construction sector plays a vital role in the economic development of countries and workers alike. As a labour-intensive sector, it has the potential to create employment and generate wealth. The industry is rapidly evolving due to changes in employment relationships and industrial structure, increasing urbanisation, the declining role of the public sector as an employer, expansion of international contractors, migration trends and environmental challenges. Interventions addressing female employment conditions should b</w:t>
      </w:r>
      <w:r w:rsidR="007A3470" w:rsidRPr="000E0C38">
        <w:rPr>
          <w:rFonts w:ascii="Arial" w:eastAsia="SimSun" w:hAnsi="Arial" w:cs="Arial"/>
          <w:sz w:val="20"/>
          <w:szCs w:val="20"/>
          <w:lang w:eastAsia="zh-CN"/>
        </w:rPr>
        <w:t xml:space="preserve">e implemented in countries </w:t>
      </w:r>
      <w:r w:rsidRPr="000E0C38">
        <w:rPr>
          <w:rFonts w:ascii="Arial" w:eastAsia="SimSun" w:hAnsi="Arial" w:cs="Arial"/>
          <w:sz w:val="20"/>
          <w:szCs w:val="20"/>
          <w:lang w:eastAsia="zh-CN"/>
        </w:rPr>
        <w:t xml:space="preserve">where women are suffering poor working conditions. Programs implemented in countries with low female participation yet expected high employment growth can take advantage of the change in the sector status quo. Countries with high expected female </w:t>
      </w:r>
      <w:r w:rsidR="007A3470" w:rsidRPr="000E0C38">
        <w:rPr>
          <w:rFonts w:ascii="Arial" w:eastAsia="SimSun" w:hAnsi="Arial" w:cs="Arial"/>
          <w:sz w:val="20"/>
          <w:szCs w:val="20"/>
          <w:lang w:eastAsia="zh-CN"/>
        </w:rPr>
        <w:t xml:space="preserve">employment </w:t>
      </w:r>
      <w:r w:rsidRPr="000E0C38">
        <w:rPr>
          <w:rFonts w:ascii="Arial" w:eastAsia="SimSun" w:hAnsi="Arial" w:cs="Arial"/>
          <w:sz w:val="20"/>
          <w:szCs w:val="20"/>
          <w:lang w:eastAsia="zh-CN"/>
        </w:rPr>
        <w:t>growth include Myanmar, Yemen, Pakistan, Uganda, Afghanistan</w:t>
      </w:r>
      <w:r w:rsidR="007A3470"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and Tanzania</w:t>
      </w:r>
      <w:r w:rsidR="00B72528" w:rsidRPr="000E0C38">
        <w:rPr>
          <w:rFonts w:ascii="Arial" w:eastAsia="SimSun" w:hAnsi="Arial" w:cs="Arial"/>
          <w:sz w:val="20"/>
          <w:szCs w:val="20"/>
          <w:lang w:eastAsia="zh-CN"/>
        </w:rPr>
        <w:t>.</w:t>
      </w:r>
    </w:p>
    <w:p w14:paraId="0933254B" w14:textId="77777777" w:rsidR="001449D3" w:rsidRPr="000E0C38" w:rsidRDefault="00B72528"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Potential opportunities for engagement include</w:t>
      </w:r>
      <w:r w:rsidR="001449D3" w:rsidRPr="000E0C38">
        <w:rPr>
          <w:rFonts w:ascii="Arial" w:eastAsia="SimSun" w:hAnsi="Arial" w:cs="Arial"/>
          <w:sz w:val="20"/>
          <w:szCs w:val="20"/>
          <w:lang w:eastAsia="zh-CN"/>
        </w:rPr>
        <w:t xml:space="preserve">. </w:t>
      </w:r>
    </w:p>
    <w:p w14:paraId="0A2A64A6" w14:textId="77777777" w:rsidR="001449D3" w:rsidRPr="000E0C38" w:rsidRDefault="001449D3" w:rsidP="00831B36">
      <w:pPr>
        <w:pStyle w:val="ListParagraph"/>
        <w:numPr>
          <w:ilvl w:val="0"/>
          <w:numId w:val="21"/>
        </w:numPr>
        <w:spacing w:after="0"/>
        <w:ind w:left="284" w:hanging="284"/>
        <w:contextualSpacing w:val="0"/>
        <w:rPr>
          <w:rFonts w:ascii="Arial" w:eastAsia="SimSun" w:hAnsi="Arial" w:cs="Arial"/>
          <w:sz w:val="20"/>
          <w:szCs w:val="20"/>
        </w:rPr>
      </w:pPr>
      <w:r w:rsidRPr="000E0C38">
        <w:rPr>
          <w:rFonts w:ascii="Arial" w:eastAsia="SimSun" w:hAnsi="Arial" w:cs="Arial"/>
          <w:sz w:val="20"/>
          <w:szCs w:val="20"/>
        </w:rPr>
        <w:t>Direct or indirect technical and financial support of inclusive business models and women cooperatives</w:t>
      </w:r>
      <w:r w:rsidR="007A3470" w:rsidRPr="000E0C38">
        <w:rPr>
          <w:rFonts w:ascii="Arial" w:eastAsia="SimSun" w:hAnsi="Arial" w:cs="Arial"/>
          <w:sz w:val="20"/>
          <w:szCs w:val="20"/>
        </w:rPr>
        <w:t>.</w:t>
      </w:r>
    </w:p>
    <w:p w14:paraId="1763E2D7" w14:textId="77777777" w:rsidR="001449D3" w:rsidRPr="000E0C38" w:rsidRDefault="007A3470" w:rsidP="00831B36">
      <w:pPr>
        <w:pStyle w:val="ListParagraph"/>
        <w:numPr>
          <w:ilvl w:val="0"/>
          <w:numId w:val="21"/>
        </w:numPr>
        <w:spacing w:after="0"/>
        <w:ind w:left="284" w:hanging="284"/>
        <w:contextualSpacing w:val="0"/>
        <w:rPr>
          <w:rFonts w:ascii="Arial" w:eastAsia="SimSun" w:hAnsi="Arial" w:cs="Arial"/>
          <w:sz w:val="20"/>
          <w:szCs w:val="20"/>
        </w:rPr>
      </w:pPr>
      <w:r w:rsidRPr="000E0C38">
        <w:rPr>
          <w:rFonts w:ascii="Arial" w:eastAsia="SimSun" w:hAnsi="Arial" w:cs="Arial"/>
          <w:sz w:val="20"/>
          <w:szCs w:val="20"/>
        </w:rPr>
        <w:t>Enhancing</w:t>
      </w:r>
      <w:r w:rsidR="001449D3" w:rsidRPr="000E0C38">
        <w:rPr>
          <w:rFonts w:ascii="Arial" w:eastAsia="SimSun" w:hAnsi="Arial" w:cs="Arial"/>
          <w:sz w:val="20"/>
          <w:szCs w:val="20"/>
        </w:rPr>
        <w:t xml:space="preserve"> business development services supporting the creation and growth of local companies.</w:t>
      </w:r>
    </w:p>
    <w:p w14:paraId="6E01FDDC" w14:textId="77777777" w:rsidR="00B72528" w:rsidRPr="000E0C38" w:rsidRDefault="00B72528" w:rsidP="00831B36">
      <w:pPr>
        <w:pStyle w:val="ListParagraph"/>
        <w:numPr>
          <w:ilvl w:val="0"/>
          <w:numId w:val="21"/>
        </w:numPr>
        <w:spacing w:after="120"/>
        <w:ind w:left="284" w:hanging="284"/>
        <w:contextualSpacing w:val="0"/>
        <w:rPr>
          <w:rFonts w:ascii="Arial" w:eastAsia="SimSun" w:hAnsi="Arial" w:cs="Arial"/>
          <w:sz w:val="20"/>
          <w:szCs w:val="20"/>
        </w:rPr>
      </w:pPr>
      <w:r w:rsidRPr="000E0C38">
        <w:rPr>
          <w:rFonts w:ascii="Arial" w:eastAsia="SimSun" w:hAnsi="Arial" w:cs="Arial"/>
          <w:sz w:val="20"/>
          <w:szCs w:val="20"/>
        </w:rPr>
        <w:t>Cooperation with women’s rights organisations to support engagement in the sector and promote dialogue with other stakeholders</w:t>
      </w:r>
      <w:r w:rsidR="007A3470" w:rsidRPr="000E0C38">
        <w:rPr>
          <w:rFonts w:ascii="Arial" w:eastAsia="SimSun" w:hAnsi="Arial" w:cs="Arial"/>
          <w:sz w:val="20"/>
          <w:szCs w:val="20"/>
        </w:rPr>
        <w:t>.</w:t>
      </w:r>
    </w:p>
    <w:p w14:paraId="5D74E41F" w14:textId="77777777" w:rsidR="001449D3" w:rsidRPr="000E0C38" w:rsidRDefault="001449D3" w:rsidP="00322559">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Interventions directed to improve national employment and women</w:t>
      </w:r>
      <w:r w:rsidR="007A3470" w:rsidRPr="000E0C38">
        <w:rPr>
          <w:rFonts w:ascii="Arial" w:eastAsia="SimSun" w:hAnsi="Arial" w:cs="Arial"/>
          <w:sz w:val="20"/>
          <w:szCs w:val="20"/>
          <w:lang w:eastAsia="zh-CN"/>
        </w:rPr>
        <w:t>’s</w:t>
      </w:r>
      <w:r w:rsidRPr="000E0C38">
        <w:rPr>
          <w:rFonts w:ascii="Arial" w:eastAsia="SimSun" w:hAnsi="Arial" w:cs="Arial"/>
          <w:sz w:val="20"/>
          <w:szCs w:val="20"/>
          <w:lang w:eastAsia="zh-CN"/>
        </w:rPr>
        <w:t xml:space="preserve"> participation face a series of challenges. In South Africa, high income differences with its neighbouring countries attract large amounts of </w:t>
      </w:r>
      <w:r w:rsidRPr="000E0C38">
        <w:rPr>
          <w:rFonts w:ascii="Arial" w:eastAsia="SimSun" w:hAnsi="Arial" w:cs="Arial"/>
          <w:sz w:val="20"/>
          <w:szCs w:val="20"/>
          <w:lang w:eastAsia="zh-CN"/>
        </w:rPr>
        <w:lastRenderedPageBreak/>
        <w:t xml:space="preserve">undocumented migrants working in unskilled occupations, limiting the employment of the local workforce. </w:t>
      </w:r>
      <w:r w:rsidR="001C2853" w:rsidRPr="000E0C38">
        <w:rPr>
          <w:rFonts w:ascii="Arial" w:eastAsia="SimSun" w:hAnsi="Arial" w:cs="Arial"/>
          <w:sz w:val="20"/>
          <w:szCs w:val="20"/>
          <w:lang w:eastAsia="zh-CN"/>
        </w:rPr>
        <w:t xml:space="preserve">The relationship between women and </w:t>
      </w:r>
      <w:r w:rsidR="00367991" w:rsidRPr="000E0C38">
        <w:rPr>
          <w:rFonts w:ascii="Arial" w:eastAsia="SimSun" w:hAnsi="Arial" w:cs="Arial"/>
          <w:sz w:val="20"/>
          <w:szCs w:val="20"/>
          <w:lang w:eastAsia="zh-CN"/>
        </w:rPr>
        <w:t>foreign participation should be further studied.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497"/>
      </w:tblGrid>
      <w:tr w:rsidR="007A3470" w:rsidRPr="000E0C38" w14:paraId="323F2B42" w14:textId="77777777" w:rsidTr="00432BEF">
        <w:tc>
          <w:tcPr>
            <w:tcW w:w="9606" w:type="dxa"/>
            <w:shd w:val="clear" w:color="auto" w:fill="E7E6E6" w:themeFill="background2"/>
          </w:tcPr>
          <w:p w14:paraId="68605532" w14:textId="0FB56F12" w:rsidR="007A3470" w:rsidRPr="000E0C38" w:rsidRDefault="00076E1B" w:rsidP="008F4768">
            <w:pPr>
              <w:spacing w:before="40" w:after="120" w:line="276" w:lineRule="auto"/>
              <w:jc w:val="both"/>
              <w:rPr>
                <w:rFonts w:ascii="Arial" w:eastAsia="SimSun" w:hAnsi="Arial" w:cs="Arial"/>
                <w:b/>
                <w:sz w:val="20"/>
                <w:szCs w:val="20"/>
              </w:rPr>
            </w:pPr>
            <w:r w:rsidRPr="000E0C38">
              <w:rPr>
                <w:rFonts w:ascii="Arial" w:eastAsia="SimSun" w:hAnsi="Arial" w:cs="Arial"/>
                <w:b/>
                <w:sz w:val="20"/>
                <w:szCs w:val="20"/>
              </w:rPr>
              <w:t>BOX 3</w:t>
            </w:r>
            <w:r w:rsidR="004320CA" w:rsidRPr="000E0C38">
              <w:rPr>
                <w:rFonts w:ascii="Arial" w:eastAsia="SimSun" w:hAnsi="Arial" w:cs="Arial"/>
                <w:b/>
                <w:sz w:val="20"/>
                <w:szCs w:val="20"/>
              </w:rPr>
              <w:t xml:space="preserve">: </w:t>
            </w:r>
            <w:r w:rsidR="007A3470" w:rsidRPr="000E0C38">
              <w:rPr>
                <w:rFonts w:ascii="Arial" w:eastAsia="SimSun" w:hAnsi="Arial" w:cs="Arial"/>
                <w:b/>
                <w:sz w:val="20"/>
                <w:szCs w:val="20"/>
              </w:rPr>
              <w:t>Training self-employed women in the Indian construction sector</w:t>
            </w:r>
          </w:p>
          <w:p w14:paraId="52B15A7F" w14:textId="77777777" w:rsidR="007A3470" w:rsidRPr="000E0C38" w:rsidRDefault="007A3470" w:rsidP="008F4768">
            <w:pPr>
              <w:spacing w:after="120" w:line="276" w:lineRule="auto"/>
              <w:jc w:val="both"/>
              <w:rPr>
                <w:rFonts w:ascii="Arial" w:eastAsia="SimSun" w:hAnsi="Arial" w:cs="Arial"/>
                <w:sz w:val="20"/>
                <w:szCs w:val="20"/>
              </w:rPr>
            </w:pPr>
            <w:r w:rsidRPr="000E0C38">
              <w:rPr>
                <w:rFonts w:ascii="Arial" w:eastAsia="SimSun" w:hAnsi="Arial" w:cs="Arial"/>
                <w:sz w:val="20"/>
                <w:szCs w:val="20"/>
              </w:rPr>
              <w:t>An example of a replicable intervention promoting women</w:t>
            </w:r>
            <w:r w:rsidR="00C44EAD" w:rsidRPr="000E0C38">
              <w:rPr>
                <w:rFonts w:ascii="Arial" w:eastAsia="SimSun" w:hAnsi="Arial" w:cs="Arial"/>
                <w:sz w:val="20"/>
                <w:szCs w:val="20"/>
              </w:rPr>
              <w:t>’s</w:t>
            </w:r>
            <w:r w:rsidRPr="000E0C38">
              <w:rPr>
                <w:rFonts w:ascii="Arial" w:eastAsia="SimSun" w:hAnsi="Arial" w:cs="Arial"/>
                <w:sz w:val="20"/>
                <w:szCs w:val="20"/>
              </w:rPr>
              <w:t xml:space="preserve"> participation and skills </w:t>
            </w:r>
            <w:r w:rsidR="00C44EAD" w:rsidRPr="000E0C38">
              <w:rPr>
                <w:rFonts w:ascii="Arial" w:eastAsia="SimSun" w:hAnsi="Arial" w:cs="Arial"/>
                <w:sz w:val="20"/>
                <w:szCs w:val="20"/>
              </w:rPr>
              <w:t>improvement</w:t>
            </w:r>
            <w:r w:rsidRPr="000E0C38">
              <w:rPr>
                <w:rFonts w:ascii="Arial" w:eastAsia="SimSun" w:hAnsi="Arial" w:cs="Arial"/>
                <w:sz w:val="20"/>
                <w:szCs w:val="20"/>
              </w:rPr>
              <w:t xml:space="preserve"> in the Indian construction sector is that of </w:t>
            </w:r>
            <w:r w:rsidR="00C44EAD" w:rsidRPr="000E0C38">
              <w:rPr>
                <w:rFonts w:ascii="Arial" w:eastAsia="SimSun" w:hAnsi="Arial" w:cs="Arial"/>
                <w:sz w:val="20"/>
                <w:szCs w:val="20"/>
              </w:rPr>
              <w:t xml:space="preserve">the </w:t>
            </w:r>
            <w:r w:rsidRPr="000E0C38">
              <w:rPr>
                <w:rFonts w:ascii="Arial" w:eastAsia="SimSun" w:hAnsi="Arial" w:cs="Arial"/>
                <w:sz w:val="20"/>
                <w:szCs w:val="20"/>
              </w:rPr>
              <w:t>Self-Employed Women’s Association (SEWA). The Association has been striving to improve the employability, productivity</w:t>
            </w:r>
            <w:r w:rsidR="00C44EAD" w:rsidRPr="000E0C38">
              <w:rPr>
                <w:rFonts w:ascii="Arial" w:eastAsia="SimSun" w:hAnsi="Arial" w:cs="Arial"/>
                <w:sz w:val="20"/>
                <w:szCs w:val="20"/>
              </w:rPr>
              <w:t>,</w:t>
            </w:r>
            <w:r w:rsidRPr="000E0C38">
              <w:rPr>
                <w:rFonts w:ascii="Arial" w:eastAsia="SimSun" w:hAnsi="Arial" w:cs="Arial"/>
                <w:sz w:val="20"/>
                <w:szCs w:val="20"/>
              </w:rPr>
              <w:t xml:space="preserve"> and working conditions of self-employed women workers through training courses that teach women workers about new state-of-the-art technology used by multinational construction companies. The tr</w:t>
            </w:r>
            <w:r w:rsidR="00C44EAD" w:rsidRPr="000E0C38">
              <w:rPr>
                <w:rFonts w:ascii="Arial" w:eastAsia="SimSun" w:hAnsi="Arial" w:cs="Arial"/>
                <w:sz w:val="20"/>
                <w:szCs w:val="20"/>
              </w:rPr>
              <w:t>aining courses not only enhanced</w:t>
            </w:r>
            <w:r w:rsidRPr="000E0C38">
              <w:rPr>
                <w:rFonts w:ascii="Arial" w:eastAsia="SimSun" w:hAnsi="Arial" w:cs="Arial"/>
                <w:sz w:val="20"/>
                <w:szCs w:val="20"/>
              </w:rPr>
              <w:t xml:space="preserve"> the quality of life and raised the economic strength and productive efficiency of women, but also increased their bargaining power. Around 30 per cent of the women who had previously engaged in unskilled occupations became helpers to masons as a direct result from the training, and 20 per cent became masons themselves. Around 20 per cent of the women also perceived a 70 per cent increase in their daily wage.</w:t>
            </w:r>
          </w:p>
          <w:p w14:paraId="78E99339" w14:textId="77777777" w:rsidR="007A3470" w:rsidRPr="000E0C38" w:rsidRDefault="007A3470" w:rsidP="008F4768">
            <w:pPr>
              <w:spacing w:after="120" w:line="276" w:lineRule="auto"/>
              <w:jc w:val="both"/>
              <w:rPr>
                <w:rFonts w:ascii="Arial" w:eastAsia="SimSun" w:hAnsi="Arial" w:cs="Arial"/>
                <w:sz w:val="20"/>
                <w:szCs w:val="20"/>
              </w:rPr>
            </w:pPr>
            <w:r w:rsidRPr="000E0C38">
              <w:rPr>
                <w:rFonts w:ascii="Arial" w:eastAsia="SimSun" w:hAnsi="Arial" w:cs="Arial"/>
                <w:sz w:val="20"/>
                <w:szCs w:val="20"/>
              </w:rPr>
              <w:t xml:space="preserve">Since 2003 they have been taught at the </w:t>
            </w:r>
            <w:proofErr w:type="spellStart"/>
            <w:r w:rsidRPr="000E0C38">
              <w:rPr>
                <w:rFonts w:ascii="Arial" w:eastAsia="SimSun" w:hAnsi="Arial" w:cs="Arial"/>
                <w:sz w:val="20"/>
                <w:szCs w:val="20"/>
              </w:rPr>
              <w:t>Karmika</w:t>
            </w:r>
            <w:proofErr w:type="spellEnd"/>
            <w:r w:rsidRPr="000E0C38">
              <w:rPr>
                <w:rFonts w:ascii="Arial" w:eastAsia="SimSun" w:hAnsi="Arial" w:cs="Arial"/>
                <w:sz w:val="20"/>
                <w:szCs w:val="20"/>
              </w:rPr>
              <w:t xml:space="preserve"> School for Co</w:t>
            </w:r>
            <w:r w:rsidR="00C44EAD" w:rsidRPr="000E0C38">
              <w:rPr>
                <w:rFonts w:ascii="Arial" w:eastAsia="SimSun" w:hAnsi="Arial" w:cs="Arial"/>
                <w:sz w:val="20"/>
                <w:szCs w:val="20"/>
              </w:rPr>
              <w:t xml:space="preserve">nstruction Workers in Gujarat. </w:t>
            </w:r>
            <w:r w:rsidRPr="000E0C38">
              <w:rPr>
                <w:rFonts w:ascii="Arial" w:eastAsia="SimSun" w:hAnsi="Arial" w:cs="Arial"/>
                <w:sz w:val="20"/>
                <w:szCs w:val="20"/>
              </w:rPr>
              <w:t>Following the success of the training, it has been extended to other Indian regions, and managed to train more than 6000 construction workers, 90 per cent of them being women.</w:t>
            </w:r>
          </w:p>
          <w:p w14:paraId="33C1F0C9" w14:textId="77777777" w:rsidR="007A3470" w:rsidRPr="000E0C38" w:rsidRDefault="007A3470" w:rsidP="008F4768">
            <w:pPr>
              <w:spacing w:after="120" w:line="276" w:lineRule="auto"/>
              <w:jc w:val="both"/>
              <w:rPr>
                <w:rFonts w:ascii="Arial" w:eastAsia="SimSun" w:hAnsi="Arial" w:cs="Arial"/>
                <w:sz w:val="16"/>
                <w:szCs w:val="16"/>
                <w:lang w:eastAsia="zh-CN"/>
              </w:rPr>
            </w:pPr>
            <w:r w:rsidRPr="000E0C38">
              <w:rPr>
                <w:rFonts w:ascii="Arial" w:eastAsia="SimSun" w:hAnsi="Arial" w:cs="Arial"/>
                <w:sz w:val="16"/>
                <w:szCs w:val="16"/>
              </w:rPr>
              <w:t xml:space="preserve">Source: Building and Wood Workers’ International (BWI): </w:t>
            </w:r>
            <w:r w:rsidRPr="000E0C38">
              <w:rPr>
                <w:rFonts w:ascii="Arial" w:eastAsia="SimSun" w:hAnsi="Arial" w:cs="Arial"/>
                <w:i/>
                <w:sz w:val="16"/>
                <w:szCs w:val="16"/>
              </w:rPr>
              <w:t>Building Women Power through Trade Unions, Research Study on Women in the BWI Sectors</w:t>
            </w:r>
            <w:r w:rsidRPr="000E0C38">
              <w:rPr>
                <w:rFonts w:ascii="Arial" w:eastAsia="SimSun" w:hAnsi="Arial" w:cs="Arial"/>
                <w:sz w:val="16"/>
                <w:szCs w:val="16"/>
              </w:rPr>
              <w:t xml:space="preserve"> (Geneva: 2014).</w:t>
            </w:r>
          </w:p>
        </w:tc>
      </w:tr>
    </w:tbl>
    <w:p w14:paraId="7B874A1B" w14:textId="77777777" w:rsidR="008632F2" w:rsidRPr="000E0C38" w:rsidRDefault="00067D95" w:rsidP="00432BEF">
      <w:pPr>
        <w:pStyle w:val="Heading2"/>
        <w:rPr>
          <w:lang w:eastAsia="zh-CN"/>
        </w:rPr>
      </w:pPr>
      <w:bookmarkStart w:id="34" w:name="_Toc498019403"/>
      <w:r w:rsidRPr="000E0C38">
        <w:rPr>
          <w:lang w:eastAsia="zh-CN"/>
        </w:rPr>
        <w:t>3</w:t>
      </w:r>
      <w:r w:rsidR="006545DE" w:rsidRPr="000E0C38">
        <w:rPr>
          <w:lang w:eastAsia="zh-CN"/>
        </w:rPr>
        <w:t>.5</w:t>
      </w:r>
      <w:r w:rsidRPr="000E0C38">
        <w:rPr>
          <w:lang w:eastAsia="zh-CN"/>
        </w:rPr>
        <w:t xml:space="preserve"> </w:t>
      </w:r>
      <w:r w:rsidR="008632F2" w:rsidRPr="000E0C38">
        <w:rPr>
          <w:lang w:eastAsia="zh-CN"/>
        </w:rPr>
        <w:t>Elimi</w:t>
      </w:r>
      <w:r w:rsidR="004452A6" w:rsidRPr="000E0C38">
        <w:rPr>
          <w:lang w:eastAsia="zh-CN"/>
        </w:rPr>
        <w:t>nating</w:t>
      </w:r>
      <w:r w:rsidR="008632F2" w:rsidRPr="000E0C38">
        <w:rPr>
          <w:lang w:eastAsia="zh-CN"/>
        </w:rPr>
        <w:t xml:space="preserve"> child and forced labour in construction supply chains</w:t>
      </w:r>
      <w:bookmarkEnd w:id="34"/>
    </w:p>
    <w:p w14:paraId="1032EE64" w14:textId="77777777" w:rsidR="009E64CA"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The global number of children in child labour has declined by one third since 2000, from 246 </w:t>
      </w:r>
      <w:r w:rsidR="004452A6" w:rsidRPr="000E0C38">
        <w:rPr>
          <w:rFonts w:ascii="Arial" w:eastAsia="SimSun" w:hAnsi="Arial" w:cs="Arial"/>
          <w:sz w:val="20"/>
          <w:szCs w:val="20"/>
          <w:lang w:eastAsia="zh-CN"/>
        </w:rPr>
        <w:t>million to 168 million children;</w:t>
      </w:r>
      <w:r w:rsidRPr="000E0C38">
        <w:rPr>
          <w:rFonts w:ascii="Arial" w:eastAsia="SimSun" w:hAnsi="Arial" w:cs="Arial"/>
          <w:sz w:val="20"/>
          <w:szCs w:val="20"/>
          <w:lang w:eastAsia="zh-CN"/>
        </w:rPr>
        <w:t xml:space="preserve"> but there is still a long way to go. </w:t>
      </w:r>
      <w:r w:rsidR="008C4001" w:rsidRPr="000E0C38">
        <w:rPr>
          <w:rFonts w:ascii="Arial" w:eastAsia="SimSun" w:hAnsi="Arial" w:cs="Arial"/>
          <w:sz w:val="20"/>
          <w:szCs w:val="20"/>
          <w:lang w:eastAsia="zh-CN"/>
        </w:rPr>
        <w:t>In order to maximise outcomes, e</w:t>
      </w:r>
      <w:r w:rsidRPr="000E0C38">
        <w:rPr>
          <w:rFonts w:ascii="Arial" w:eastAsia="SimSun" w:hAnsi="Arial" w:cs="Arial"/>
          <w:sz w:val="20"/>
          <w:szCs w:val="20"/>
          <w:lang w:eastAsia="zh-CN"/>
        </w:rPr>
        <w:t xml:space="preserve">fforts to eliminate child labour </w:t>
      </w:r>
      <w:r w:rsidR="008C4001" w:rsidRPr="000E0C38">
        <w:rPr>
          <w:rFonts w:ascii="Arial" w:eastAsia="SimSun" w:hAnsi="Arial" w:cs="Arial"/>
          <w:sz w:val="20"/>
          <w:szCs w:val="20"/>
          <w:lang w:eastAsia="zh-CN"/>
        </w:rPr>
        <w:t xml:space="preserve">should </w:t>
      </w:r>
      <w:r w:rsidRPr="000E0C38">
        <w:rPr>
          <w:rFonts w:ascii="Arial" w:eastAsia="SimSun" w:hAnsi="Arial" w:cs="Arial"/>
          <w:sz w:val="20"/>
          <w:szCs w:val="20"/>
          <w:lang w:eastAsia="zh-CN"/>
        </w:rPr>
        <w:t>be directed to the construction supply chain</w:t>
      </w:r>
      <w:r w:rsidR="008C4001"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and specifically to the brick making industry. Afghanistan, Bangladesh, Burma, India, Nigeria, Pakistan, Sierra Leone, Uganda and Zambia have reportedly high </w:t>
      </w:r>
      <w:r w:rsidR="004452A6" w:rsidRPr="000E0C38">
        <w:rPr>
          <w:rFonts w:ascii="Arial" w:eastAsia="SimSun" w:hAnsi="Arial" w:cs="Arial"/>
          <w:sz w:val="20"/>
          <w:szCs w:val="20"/>
          <w:lang w:eastAsia="zh-CN"/>
        </w:rPr>
        <w:t>amounts</w:t>
      </w:r>
      <w:r w:rsidRPr="000E0C38">
        <w:rPr>
          <w:rFonts w:ascii="Arial" w:eastAsia="SimSun" w:hAnsi="Arial" w:cs="Arial"/>
          <w:sz w:val="20"/>
          <w:szCs w:val="20"/>
          <w:lang w:eastAsia="zh-CN"/>
        </w:rPr>
        <w:t xml:space="preserve"> of child and forced labour. Potential paths to eliminate child and forced labour </w:t>
      </w:r>
      <w:r w:rsidR="00A4783E" w:rsidRPr="000E0C38">
        <w:rPr>
          <w:rFonts w:ascii="Arial" w:eastAsia="SimSun" w:hAnsi="Arial" w:cs="Arial"/>
          <w:sz w:val="20"/>
          <w:szCs w:val="20"/>
          <w:lang w:eastAsia="zh-CN"/>
        </w:rPr>
        <w:t>are:</w:t>
      </w:r>
    </w:p>
    <w:p w14:paraId="0CF01A1E" w14:textId="77777777" w:rsidR="009E64CA" w:rsidRPr="000E0C38" w:rsidRDefault="008632F2" w:rsidP="004B3CBB">
      <w:pPr>
        <w:numPr>
          <w:ilvl w:val="0"/>
          <w:numId w:val="14"/>
        </w:numPr>
        <w:spacing w:line="276" w:lineRule="auto"/>
        <w:ind w:left="425" w:hanging="425"/>
        <w:jc w:val="both"/>
        <w:rPr>
          <w:rFonts w:ascii="Arial" w:eastAsia="SimSun" w:hAnsi="Arial" w:cs="Arial"/>
          <w:i/>
          <w:sz w:val="20"/>
          <w:szCs w:val="20"/>
          <w:lang w:eastAsia="zh-CN"/>
        </w:rPr>
      </w:pPr>
      <w:r w:rsidRPr="000E0C38">
        <w:rPr>
          <w:rFonts w:ascii="Arial" w:eastAsia="SimSun" w:hAnsi="Arial" w:cs="Arial"/>
          <w:sz w:val="20"/>
          <w:szCs w:val="20"/>
          <w:lang w:eastAsia="zh-CN"/>
        </w:rPr>
        <w:t>Strengthening training and education institutions to increase children´s access to public education</w:t>
      </w:r>
      <w:r w:rsidR="008C4001" w:rsidRPr="000E0C38">
        <w:rPr>
          <w:rFonts w:ascii="Arial" w:eastAsia="SimSun" w:hAnsi="Arial" w:cs="Arial"/>
          <w:sz w:val="20"/>
          <w:szCs w:val="20"/>
          <w:lang w:eastAsia="zh-CN"/>
        </w:rPr>
        <w:t>.</w:t>
      </w:r>
    </w:p>
    <w:p w14:paraId="7226B5AE" w14:textId="77777777" w:rsidR="009E64CA" w:rsidRPr="000E0C38" w:rsidRDefault="008632F2" w:rsidP="004B3CBB">
      <w:pPr>
        <w:numPr>
          <w:ilvl w:val="0"/>
          <w:numId w:val="14"/>
        </w:numPr>
        <w:spacing w:line="276" w:lineRule="auto"/>
        <w:ind w:left="425" w:hanging="425"/>
        <w:jc w:val="both"/>
        <w:rPr>
          <w:rFonts w:ascii="Arial" w:eastAsia="SimSun" w:hAnsi="Arial" w:cs="Arial"/>
          <w:i/>
          <w:sz w:val="20"/>
          <w:szCs w:val="20"/>
          <w:lang w:eastAsia="zh-CN"/>
        </w:rPr>
      </w:pPr>
      <w:r w:rsidRPr="000E0C38">
        <w:rPr>
          <w:rFonts w:ascii="Arial" w:eastAsia="SimSun" w:hAnsi="Arial" w:cs="Arial"/>
          <w:sz w:val="20"/>
          <w:szCs w:val="20"/>
          <w:lang w:eastAsia="zh-CN"/>
        </w:rPr>
        <w:t>Supporting labour inspection systems and companies to identify child labour</w:t>
      </w:r>
      <w:r w:rsidR="008C4001" w:rsidRPr="000E0C38">
        <w:rPr>
          <w:rFonts w:ascii="Arial" w:eastAsia="SimSun" w:hAnsi="Arial" w:cs="Arial"/>
          <w:sz w:val="20"/>
          <w:szCs w:val="20"/>
          <w:lang w:eastAsia="zh-CN"/>
        </w:rPr>
        <w:t>.</w:t>
      </w:r>
    </w:p>
    <w:p w14:paraId="5214CAAC" w14:textId="77777777" w:rsidR="009E64CA" w:rsidRPr="000E0C38" w:rsidRDefault="008632F2" w:rsidP="004B3CBB">
      <w:pPr>
        <w:pStyle w:val="BodyText"/>
        <w:numPr>
          <w:ilvl w:val="0"/>
          <w:numId w:val="14"/>
        </w:numPr>
        <w:spacing w:after="0" w:line="276" w:lineRule="auto"/>
        <w:ind w:left="425" w:hanging="425"/>
        <w:rPr>
          <w:lang w:eastAsia="zh-CN"/>
        </w:rPr>
      </w:pPr>
      <w:bookmarkStart w:id="35" w:name="_Toc492000454"/>
      <w:r w:rsidRPr="000E0C38">
        <w:rPr>
          <w:lang w:eastAsia="zh-CN"/>
        </w:rPr>
        <w:t>Implementing and supporting fair trade or labelling initiatives</w:t>
      </w:r>
      <w:bookmarkEnd w:id="35"/>
      <w:r w:rsidR="008C4001" w:rsidRPr="000E0C38">
        <w:rPr>
          <w:lang w:eastAsia="zh-CN"/>
        </w:rPr>
        <w:t>.</w:t>
      </w:r>
    </w:p>
    <w:p w14:paraId="02B00912" w14:textId="77777777" w:rsidR="009E64CA" w:rsidRPr="000E0C38" w:rsidRDefault="008632F2" w:rsidP="004B3CBB">
      <w:pPr>
        <w:numPr>
          <w:ilvl w:val="0"/>
          <w:numId w:val="14"/>
        </w:numPr>
        <w:spacing w:line="276" w:lineRule="auto"/>
        <w:ind w:left="425" w:hanging="425"/>
        <w:jc w:val="both"/>
        <w:rPr>
          <w:rFonts w:ascii="Arial" w:eastAsia="SimSun" w:hAnsi="Arial" w:cs="Arial"/>
          <w:i/>
          <w:sz w:val="20"/>
          <w:szCs w:val="20"/>
          <w:lang w:eastAsia="zh-CN"/>
        </w:rPr>
      </w:pPr>
      <w:r w:rsidRPr="000E0C38">
        <w:rPr>
          <w:rFonts w:ascii="Arial" w:eastAsia="SimSun" w:hAnsi="Arial" w:cs="Arial"/>
          <w:sz w:val="20"/>
          <w:szCs w:val="20"/>
          <w:lang w:eastAsia="zh-CN"/>
        </w:rPr>
        <w:t>Promoting global labour standards on child and forced labour in trade agreements</w:t>
      </w:r>
      <w:r w:rsidR="008C4001" w:rsidRPr="000E0C38">
        <w:rPr>
          <w:rFonts w:ascii="Arial" w:eastAsia="SimSun" w:hAnsi="Arial" w:cs="Arial"/>
          <w:sz w:val="20"/>
          <w:szCs w:val="20"/>
          <w:lang w:eastAsia="zh-CN"/>
        </w:rPr>
        <w:t>.</w:t>
      </w:r>
    </w:p>
    <w:p w14:paraId="3658B030" w14:textId="77777777" w:rsidR="008632F2" w:rsidRPr="000E0C38" w:rsidRDefault="008632F2" w:rsidP="00831B36">
      <w:pPr>
        <w:numPr>
          <w:ilvl w:val="0"/>
          <w:numId w:val="14"/>
        </w:numPr>
        <w:spacing w:after="120" w:line="276" w:lineRule="auto"/>
        <w:ind w:left="425" w:hanging="425"/>
        <w:jc w:val="both"/>
        <w:rPr>
          <w:rFonts w:ascii="Arial" w:eastAsia="SimSun" w:hAnsi="Arial" w:cs="Arial"/>
          <w:i/>
          <w:sz w:val="20"/>
          <w:szCs w:val="20"/>
          <w:lang w:eastAsia="zh-CN"/>
        </w:rPr>
      </w:pPr>
      <w:r w:rsidRPr="000E0C38">
        <w:rPr>
          <w:rFonts w:ascii="Arial" w:eastAsia="SimSun" w:hAnsi="Arial" w:cs="Arial"/>
          <w:sz w:val="20"/>
          <w:szCs w:val="20"/>
          <w:lang w:eastAsia="zh-CN"/>
        </w:rPr>
        <w:t>Supporting collective bargaining strategies such as Global Framework Agreements</w:t>
      </w:r>
      <w:r w:rsidR="008C4001" w:rsidRPr="000E0C38">
        <w:rPr>
          <w:rFonts w:ascii="Arial" w:eastAsia="SimSun" w:hAnsi="Arial" w:cs="Arial"/>
          <w:sz w:val="20"/>
          <w:szCs w:val="20"/>
          <w:lang w:eastAsia="zh-CN"/>
        </w:rPr>
        <w:t>.</w:t>
      </w:r>
      <w:r w:rsidRPr="000E0C38">
        <w:rPr>
          <w:rFonts w:ascii="Arial" w:eastAsia="SimSun" w:hAnsi="Arial" w:cs="Arial"/>
          <w:sz w:val="20"/>
          <w:szCs w:val="20"/>
          <w:vertAlign w:val="superscript"/>
          <w:lang w:eastAsia="zh-CN"/>
        </w:rPr>
        <w:footnoteReference w:id="83"/>
      </w:r>
    </w:p>
    <w:p w14:paraId="036BE135" w14:textId="77777777" w:rsidR="008632F2"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Existing challenges to </w:t>
      </w:r>
      <w:r w:rsidR="00A4783E" w:rsidRPr="000E0C38">
        <w:rPr>
          <w:rFonts w:ascii="Arial" w:eastAsia="SimSun" w:hAnsi="Arial" w:cs="Arial"/>
          <w:sz w:val="20"/>
          <w:szCs w:val="20"/>
          <w:lang w:eastAsia="zh-CN"/>
        </w:rPr>
        <w:t xml:space="preserve">the </w:t>
      </w:r>
      <w:r w:rsidR="00FF2957" w:rsidRPr="000E0C38">
        <w:rPr>
          <w:rFonts w:ascii="Arial" w:eastAsia="SimSun" w:hAnsi="Arial" w:cs="Arial"/>
          <w:sz w:val="20"/>
          <w:szCs w:val="20"/>
          <w:lang w:eastAsia="zh-CN"/>
        </w:rPr>
        <w:t xml:space="preserve">reduction of </w:t>
      </w:r>
      <w:r w:rsidRPr="000E0C38">
        <w:rPr>
          <w:rFonts w:ascii="Arial" w:eastAsia="SimSun" w:hAnsi="Arial" w:cs="Arial"/>
          <w:sz w:val="20"/>
          <w:szCs w:val="20"/>
          <w:lang w:eastAsia="zh-CN"/>
        </w:rPr>
        <w:t>child labour include governmental resistance to policy change due to vested interests and pressure from organised groups of child workers</w:t>
      </w:r>
      <w:r w:rsidR="00FF2957" w:rsidRPr="000E0C38">
        <w:rPr>
          <w:rFonts w:ascii="Arial" w:eastAsia="SimSun" w:hAnsi="Arial" w:cs="Arial"/>
          <w:sz w:val="20"/>
          <w:szCs w:val="20"/>
          <w:lang w:eastAsia="zh-CN"/>
        </w:rPr>
        <w:t>.</w:t>
      </w:r>
    </w:p>
    <w:p w14:paraId="5CAB6879" w14:textId="77777777" w:rsidR="008632F2" w:rsidRPr="000E0C38" w:rsidRDefault="00067D95" w:rsidP="00FF2957">
      <w:pPr>
        <w:pStyle w:val="Heading2"/>
        <w:spacing w:before="0"/>
        <w:rPr>
          <w:lang w:eastAsia="zh-CN"/>
        </w:rPr>
      </w:pPr>
      <w:bookmarkStart w:id="36" w:name="_Toc498019404"/>
      <w:r w:rsidRPr="000E0C38">
        <w:rPr>
          <w:lang w:eastAsia="zh-CN"/>
        </w:rPr>
        <w:t>3</w:t>
      </w:r>
      <w:r w:rsidR="006545DE" w:rsidRPr="000E0C38">
        <w:rPr>
          <w:lang w:eastAsia="zh-CN"/>
        </w:rPr>
        <w:t>.6</w:t>
      </w:r>
      <w:r w:rsidRPr="000E0C38">
        <w:rPr>
          <w:lang w:eastAsia="zh-CN"/>
        </w:rPr>
        <w:t xml:space="preserve"> </w:t>
      </w:r>
      <w:r w:rsidR="008632F2" w:rsidRPr="000E0C38">
        <w:rPr>
          <w:lang w:eastAsia="zh-CN"/>
        </w:rPr>
        <w:t>Skills and education development</w:t>
      </w:r>
      <w:bookmarkEnd w:id="36"/>
    </w:p>
    <w:p w14:paraId="36D3C8F8" w14:textId="77777777" w:rsidR="0089618C" w:rsidRPr="000E0C38" w:rsidRDefault="008632F2"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Investing in education and training is vital to </w:t>
      </w:r>
      <w:r w:rsidR="005C5757" w:rsidRPr="000E0C38">
        <w:rPr>
          <w:rFonts w:ascii="Arial" w:eastAsia="SimSun" w:hAnsi="Arial" w:cs="Arial"/>
          <w:sz w:val="20"/>
          <w:szCs w:val="20"/>
          <w:lang w:eastAsia="zh-CN"/>
        </w:rPr>
        <w:t xml:space="preserve">closing the </w:t>
      </w:r>
      <w:r w:rsidRPr="000E0C38">
        <w:rPr>
          <w:rFonts w:ascii="Arial" w:eastAsia="SimSun" w:hAnsi="Arial" w:cs="Arial"/>
          <w:sz w:val="20"/>
          <w:szCs w:val="20"/>
          <w:lang w:eastAsia="zh-CN"/>
        </w:rPr>
        <w:t>skills gap, increas</w:t>
      </w:r>
      <w:r w:rsidR="00FF2957" w:rsidRPr="000E0C38">
        <w:rPr>
          <w:rFonts w:ascii="Arial" w:eastAsia="SimSun" w:hAnsi="Arial" w:cs="Arial"/>
          <w:sz w:val="20"/>
          <w:szCs w:val="20"/>
          <w:lang w:eastAsia="zh-CN"/>
        </w:rPr>
        <w:t>ing</w:t>
      </w:r>
      <w:r w:rsidRPr="000E0C38">
        <w:rPr>
          <w:rFonts w:ascii="Arial" w:eastAsia="SimSun" w:hAnsi="Arial" w:cs="Arial"/>
          <w:sz w:val="20"/>
          <w:szCs w:val="20"/>
          <w:lang w:eastAsia="zh-CN"/>
        </w:rPr>
        <w:t xml:space="preserve"> productivity</w:t>
      </w:r>
      <w:r w:rsidR="00FF2957"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and </w:t>
      </w:r>
      <w:r w:rsidR="005C5757" w:rsidRPr="000E0C38">
        <w:rPr>
          <w:rFonts w:ascii="Arial" w:eastAsia="SimSun" w:hAnsi="Arial" w:cs="Arial"/>
          <w:sz w:val="20"/>
          <w:szCs w:val="20"/>
          <w:lang w:eastAsia="zh-CN"/>
        </w:rPr>
        <w:t>improving OS</w:t>
      </w:r>
      <w:r w:rsidR="00FF2957" w:rsidRPr="000E0C38">
        <w:rPr>
          <w:rFonts w:ascii="Arial" w:eastAsia="SimSun" w:hAnsi="Arial" w:cs="Arial"/>
          <w:sz w:val="20"/>
          <w:szCs w:val="20"/>
          <w:lang w:eastAsia="zh-CN"/>
        </w:rPr>
        <w:t>H</w:t>
      </w:r>
      <w:r w:rsidR="005C5757" w:rsidRPr="000E0C38">
        <w:rPr>
          <w:rFonts w:ascii="Arial" w:eastAsia="SimSun" w:hAnsi="Arial" w:cs="Arial"/>
          <w:sz w:val="20"/>
          <w:szCs w:val="20"/>
          <w:lang w:eastAsia="zh-CN"/>
        </w:rPr>
        <w:t xml:space="preserve"> </w:t>
      </w:r>
      <w:r w:rsidRPr="000E0C38">
        <w:rPr>
          <w:rFonts w:ascii="Arial" w:eastAsia="SimSun" w:hAnsi="Arial" w:cs="Arial"/>
          <w:sz w:val="20"/>
          <w:szCs w:val="20"/>
          <w:lang w:eastAsia="zh-CN"/>
        </w:rPr>
        <w:t>compliance. Impacts are maximi</w:t>
      </w:r>
      <w:r w:rsidR="005C5757" w:rsidRPr="000E0C38">
        <w:rPr>
          <w:rFonts w:ascii="Arial" w:eastAsia="SimSun" w:hAnsi="Arial" w:cs="Arial"/>
          <w:sz w:val="20"/>
          <w:szCs w:val="20"/>
          <w:lang w:eastAsia="zh-CN"/>
        </w:rPr>
        <w:t>s</w:t>
      </w:r>
      <w:r w:rsidRPr="000E0C38">
        <w:rPr>
          <w:rFonts w:ascii="Arial" w:eastAsia="SimSun" w:hAnsi="Arial" w:cs="Arial"/>
          <w:sz w:val="20"/>
          <w:szCs w:val="20"/>
          <w:lang w:eastAsia="zh-CN"/>
        </w:rPr>
        <w:t>ed in situations of high employment growth</w:t>
      </w:r>
      <w:r w:rsidR="0029592E" w:rsidRPr="000E0C38">
        <w:rPr>
          <w:rFonts w:ascii="Arial" w:eastAsia="SimSun" w:hAnsi="Arial" w:cs="Arial"/>
          <w:sz w:val="20"/>
          <w:szCs w:val="20"/>
          <w:lang w:eastAsia="zh-CN"/>
        </w:rPr>
        <w:t xml:space="preserve"> as the need for construction skills is higher</w:t>
      </w:r>
      <w:r w:rsidRPr="000E0C38">
        <w:rPr>
          <w:rFonts w:ascii="Arial" w:eastAsia="SimSun" w:hAnsi="Arial" w:cs="Arial"/>
          <w:sz w:val="20"/>
          <w:szCs w:val="20"/>
          <w:lang w:eastAsia="zh-CN"/>
        </w:rPr>
        <w:t>. Countries like Bangladesh, India</w:t>
      </w:r>
      <w:r w:rsidR="00FF2957" w:rsidRPr="000E0C38">
        <w:rPr>
          <w:rFonts w:ascii="Arial" w:eastAsia="SimSun" w:hAnsi="Arial" w:cs="Arial"/>
          <w:sz w:val="20"/>
          <w:szCs w:val="20"/>
          <w:lang w:eastAsia="zh-CN"/>
        </w:rPr>
        <w:t>,</w:t>
      </w:r>
      <w:r w:rsidRPr="000E0C38">
        <w:rPr>
          <w:rFonts w:ascii="Arial" w:eastAsia="SimSun" w:hAnsi="Arial" w:cs="Arial"/>
          <w:sz w:val="20"/>
          <w:szCs w:val="20"/>
          <w:lang w:eastAsia="zh-CN"/>
        </w:rPr>
        <w:t xml:space="preserve"> and Pakistan have addressed the topic of skills development but African countries such as DRC, Zambia, Malawi, Tanzania and Mozambique are increasingly trying to address skills shortages in the construction sector.</w:t>
      </w:r>
      <w:r w:rsidRPr="000E0C38">
        <w:rPr>
          <w:rFonts w:ascii="Arial" w:eastAsia="SimSun" w:hAnsi="Arial" w:cs="Arial"/>
          <w:b/>
          <w:sz w:val="20"/>
          <w:szCs w:val="20"/>
          <w:lang w:eastAsia="zh-CN"/>
        </w:rPr>
        <w:t xml:space="preserve"> </w:t>
      </w:r>
      <w:r w:rsidRPr="000E0C38">
        <w:rPr>
          <w:rFonts w:ascii="Arial" w:eastAsia="SimSun" w:hAnsi="Arial" w:cs="Arial"/>
          <w:sz w:val="20"/>
          <w:szCs w:val="20"/>
          <w:lang w:eastAsia="zh-CN"/>
        </w:rPr>
        <w:t>In countries such as India, Malawi and Zambia, Community Technical Colleges teach technical occupations such as plumbing and carpentry. Development and improvement of apprenticeship schemes can also help existing barriers to youth assimilation into the labour market. Improving workers skills is challenging when dealing with child labour or informal workers, as these</w:t>
      </w:r>
      <w:r w:rsidR="005C5757" w:rsidRPr="000E0C38">
        <w:rPr>
          <w:rFonts w:ascii="Arial" w:eastAsia="SimSun" w:hAnsi="Arial" w:cs="Arial"/>
          <w:sz w:val="20"/>
          <w:szCs w:val="20"/>
          <w:lang w:eastAsia="zh-CN"/>
        </w:rPr>
        <w:t xml:space="preserve"> groups</w:t>
      </w:r>
      <w:r w:rsidRPr="000E0C38">
        <w:rPr>
          <w:rFonts w:ascii="Arial" w:eastAsia="SimSun" w:hAnsi="Arial" w:cs="Arial"/>
          <w:sz w:val="20"/>
          <w:szCs w:val="20"/>
          <w:lang w:eastAsia="zh-CN"/>
        </w:rPr>
        <w:t xml:space="preserve"> cannot access skills development programs</w:t>
      </w:r>
      <w:r w:rsidR="00FF2957" w:rsidRPr="000E0C38">
        <w:rPr>
          <w:rFonts w:ascii="Arial" w:eastAsia="SimSun" w:hAnsi="Arial" w:cs="Arial"/>
          <w:sz w:val="20"/>
          <w:szCs w:val="20"/>
          <w:lang w:eastAsia="zh-CN"/>
        </w:rPr>
        <w:t>. This</w:t>
      </w:r>
      <w:r w:rsidR="008A7357" w:rsidRPr="000E0C38">
        <w:rPr>
          <w:rFonts w:ascii="Arial" w:eastAsia="SimSun" w:hAnsi="Arial" w:cs="Arial"/>
          <w:sz w:val="20"/>
          <w:szCs w:val="20"/>
          <w:lang w:eastAsia="zh-CN"/>
        </w:rPr>
        <w:t xml:space="preserve"> could potentially be an area for DFID engagement.</w:t>
      </w:r>
      <w:r w:rsidRPr="000E0C38">
        <w:rPr>
          <w:rFonts w:ascii="Arial" w:eastAsia="SimSun" w:hAnsi="Arial" w:cs="Arial"/>
          <w:sz w:val="20"/>
          <w:szCs w:val="20"/>
          <w:lang w:eastAsia="zh-CN"/>
        </w:rPr>
        <w:t xml:space="preserve"> Additionally, lack of resources and limited enterprise size limits on-the-job training in many cases.</w:t>
      </w:r>
      <w:r w:rsidR="00FF2957" w:rsidRPr="000E0C38">
        <w:rPr>
          <w:rFonts w:ascii="Arial" w:eastAsia="SimSun" w:hAnsi="Arial" w:cs="Arial"/>
          <w:sz w:val="20"/>
          <w:szCs w:val="20"/>
          <w:lang w:eastAsia="zh-CN"/>
        </w:rPr>
        <w:t xml:space="preserve"> </w:t>
      </w:r>
    </w:p>
    <w:p w14:paraId="55FA049C" w14:textId="77777777" w:rsidR="009809C2" w:rsidRPr="000E0C38" w:rsidRDefault="009809C2" w:rsidP="008F4768">
      <w:pPr>
        <w:spacing w:after="120" w:line="276" w:lineRule="auto"/>
        <w:jc w:val="both"/>
        <w:rPr>
          <w:rFonts w:ascii="Arial" w:eastAsia="SimSun" w:hAnsi="Arial" w:cs="Arial"/>
          <w:sz w:val="20"/>
          <w:szCs w:val="20"/>
          <w:lang w:eastAsia="zh-CN"/>
        </w:rPr>
      </w:pPr>
    </w:p>
    <w:p w14:paraId="75E573EF" w14:textId="77777777" w:rsidR="004B3CBB" w:rsidRPr="000E0C38" w:rsidRDefault="004B3CBB" w:rsidP="008F4768">
      <w:pPr>
        <w:spacing w:after="120" w:line="276" w:lineRule="auto"/>
        <w:jc w:val="both"/>
        <w:rPr>
          <w:rFonts w:ascii="Arial" w:eastAsia="SimSun" w:hAnsi="Arial" w:cs="Arial"/>
          <w:sz w:val="20"/>
          <w:szCs w:val="20"/>
          <w:lang w:eastAsia="zh-CN"/>
        </w:rPr>
      </w:pPr>
    </w:p>
    <w:p w14:paraId="75D191DB" w14:textId="77777777" w:rsidR="009E64CA" w:rsidRPr="000E0C38" w:rsidRDefault="00FF2957" w:rsidP="008F4768">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Potential areas for DFID involvement are:</w:t>
      </w:r>
    </w:p>
    <w:p w14:paraId="03D56E81" w14:textId="77777777" w:rsidR="009E64CA" w:rsidRPr="000E0C38" w:rsidRDefault="008632F2" w:rsidP="00831B36">
      <w:pPr>
        <w:numPr>
          <w:ilvl w:val="0"/>
          <w:numId w:val="15"/>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Support</w:t>
      </w:r>
      <w:r w:rsidR="00FF2957" w:rsidRPr="000E0C38">
        <w:rPr>
          <w:rFonts w:ascii="Arial" w:eastAsia="SimSun" w:hAnsi="Arial" w:cs="Arial"/>
          <w:sz w:val="20"/>
          <w:szCs w:val="20"/>
          <w:lang w:eastAsia="zh-CN"/>
        </w:rPr>
        <w:t>ing</w:t>
      </w:r>
      <w:r w:rsidRPr="000E0C38">
        <w:rPr>
          <w:rFonts w:ascii="Arial" w:eastAsia="SimSun" w:hAnsi="Arial" w:cs="Arial"/>
          <w:sz w:val="20"/>
          <w:szCs w:val="20"/>
          <w:lang w:eastAsia="zh-CN"/>
        </w:rPr>
        <w:t xml:space="preserve"> capacity development of selected construction training institutions</w:t>
      </w:r>
      <w:r w:rsidR="005C5757" w:rsidRPr="000E0C38">
        <w:rPr>
          <w:rFonts w:ascii="Arial" w:eastAsia="SimSun" w:hAnsi="Arial" w:cs="Arial"/>
          <w:sz w:val="20"/>
          <w:szCs w:val="20"/>
          <w:lang w:eastAsia="zh-CN"/>
        </w:rPr>
        <w:t>.</w:t>
      </w:r>
    </w:p>
    <w:p w14:paraId="2DFD0CBA" w14:textId="77777777" w:rsidR="009E64CA" w:rsidRPr="000E0C38" w:rsidRDefault="008632F2" w:rsidP="00831B36">
      <w:pPr>
        <w:numPr>
          <w:ilvl w:val="0"/>
          <w:numId w:val="15"/>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Support</w:t>
      </w:r>
      <w:r w:rsidR="00FF2957" w:rsidRPr="000E0C38">
        <w:rPr>
          <w:rFonts w:ascii="Arial" w:eastAsia="SimSun" w:hAnsi="Arial" w:cs="Arial"/>
          <w:sz w:val="20"/>
          <w:szCs w:val="20"/>
          <w:lang w:eastAsia="zh-CN"/>
        </w:rPr>
        <w:t>ing</w:t>
      </w:r>
      <w:r w:rsidRPr="000E0C38">
        <w:rPr>
          <w:rFonts w:ascii="Arial" w:eastAsia="SimSun" w:hAnsi="Arial" w:cs="Arial"/>
          <w:sz w:val="20"/>
          <w:szCs w:val="20"/>
          <w:lang w:eastAsia="zh-CN"/>
        </w:rPr>
        <w:t xml:space="preserve"> the development of construction development curricula</w:t>
      </w:r>
      <w:r w:rsidR="005C5757" w:rsidRPr="000E0C38">
        <w:rPr>
          <w:rFonts w:ascii="Arial" w:eastAsia="SimSun" w:hAnsi="Arial" w:cs="Arial"/>
          <w:sz w:val="20"/>
          <w:szCs w:val="20"/>
          <w:lang w:eastAsia="zh-CN"/>
        </w:rPr>
        <w:t>.</w:t>
      </w:r>
    </w:p>
    <w:p w14:paraId="5FDE0872" w14:textId="77777777" w:rsidR="009E64CA" w:rsidRPr="000E0C38" w:rsidRDefault="00FF2957" w:rsidP="00831B36">
      <w:pPr>
        <w:numPr>
          <w:ilvl w:val="0"/>
          <w:numId w:val="15"/>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Enhancing</w:t>
      </w:r>
      <w:r w:rsidR="008632F2" w:rsidRPr="000E0C38">
        <w:rPr>
          <w:rFonts w:ascii="Arial" w:eastAsia="SimSun" w:hAnsi="Arial" w:cs="Arial"/>
          <w:sz w:val="20"/>
          <w:szCs w:val="20"/>
          <w:lang w:eastAsia="zh-CN"/>
        </w:rPr>
        <w:t xml:space="preserve"> skills and competency levels of lecturers in training insti</w:t>
      </w:r>
      <w:r w:rsidRPr="000E0C38">
        <w:rPr>
          <w:rFonts w:ascii="Arial" w:eastAsia="SimSun" w:hAnsi="Arial" w:cs="Arial"/>
          <w:sz w:val="20"/>
          <w:szCs w:val="20"/>
          <w:lang w:eastAsia="zh-CN"/>
        </w:rPr>
        <w:t>tutions through exposure to good</w:t>
      </w:r>
      <w:r w:rsidR="008632F2" w:rsidRPr="000E0C38">
        <w:rPr>
          <w:rFonts w:ascii="Arial" w:eastAsia="SimSun" w:hAnsi="Arial" w:cs="Arial"/>
          <w:sz w:val="20"/>
          <w:szCs w:val="20"/>
          <w:lang w:eastAsia="zh-CN"/>
        </w:rPr>
        <w:t xml:space="preserve"> practice</w:t>
      </w:r>
      <w:r w:rsidR="005C5757" w:rsidRPr="000E0C38">
        <w:rPr>
          <w:rFonts w:ascii="Arial" w:eastAsia="SimSun" w:hAnsi="Arial" w:cs="Arial"/>
          <w:sz w:val="20"/>
          <w:szCs w:val="20"/>
          <w:lang w:eastAsia="zh-CN"/>
        </w:rPr>
        <w:t>.</w:t>
      </w:r>
    </w:p>
    <w:p w14:paraId="63F6E530" w14:textId="77777777" w:rsidR="009E64CA" w:rsidRPr="000E0C38" w:rsidRDefault="008632F2" w:rsidP="00831B36">
      <w:pPr>
        <w:numPr>
          <w:ilvl w:val="0"/>
          <w:numId w:val="15"/>
        </w:numPr>
        <w:spacing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Improv</w:t>
      </w:r>
      <w:r w:rsidR="00FF2957" w:rsidRPr="000E0C38">
        <w:rPr>
          <w:rFonts w:ascii="Arial" w:eastAsia="SimSun" w:hAnsi="Arial" w:cs="Arial"/>
          <w:sz w:val="20"/>
          <w:szCs w:val="20"/>
          <w:lang w:eastAsia="zh-CN"/>
        </w:rPr>
        <w:t>ing</w:t>
      </w:r>
      <w:r w:rsidRPr="000E0C38">
        <w:rPr>
          <w:rFonts w:ascii="Arial" w:eastAsia="SimSun" w:hAnsi="Arial" w:cs="Arial"/>
          <w:sz w:val="20"/>
          <w:szCs w:val="20"/>
          <w:lang w:eastAsia="zh-CN"/>
        </w:rPr>
        <w:t xml:space="preserve"> dialogue and collaboration between policy-level organisations, industry and training institutions to enhance needs-based skills development</w:t>
      </w:r>
      <w:r w:rsidR="005C5757" w:rsidRPr="000E0C38">
        <w:rPr>
          <w:rFonts w:ascii="Arial" w:eastAsia="SimSun" w:hAnsi="Arial" w:cs="Arial"/>
          <w:sz w:val="20"/>
          <w:szCs w:val="20"/>
          <w:lang w:eastAsia="zh-CN"/>
        </w:rPr>
        <w:t>.</w:t>
      </w:r>
    </w:p>
    <w:p w14:paraId="11C3523C" w14:textId="77777777" w:rsidR="006246A5" w:rsidRPr="000E0C38" w:rsidRDefault="008632F2" w:rsidP="00831B36">
      <w:pPr>
        <w:numPr>
          <w:ilvl w:val="0"/>
          <w:numId w:val="15"/>
        </w:numPr>
        <w:spacing w:after="120" w:line="276" w:lineRule="auto"/>
        <w:ind w:left="284" w:hanging="284"/>
        <w:jc w:val="both"/>
        <w:rPr>
          <w:rFonts w:ascii="Arial" w:eastAsia="SimSun" w:hAnsi="Arial" w:cs="Arial"/>
          <w:sz w:val="20"/>
          <w:szCs w:val="20"/>
          <w:lang w:eastAsia="zh-CN"/>
        </w:rPr>
      </w:pPr>
      <w:r w:rsidRPr="000E0C38">
        <w:rPr>
          <w:rFonts w:ascii="Arial" w:eastAsia="SimSun" w:hAnsi="Arial" w:cs="Arial"/>
          <w:sz w:val="20"/>
          <w:szCs w:val="20"/>
          <w:lang w:eastAsia="zh-CN"/>
        </w:rPr>
        <w:t>Support</w:t>
      </w:r>
      <w:r w:rsidR="00FF2957" w:rsidRPr="000E0C38">
        <w:rPr>
          <w:rFonts w:ascii="Arial" w:eastAsia="SimSun" w:hAnsi="Arial" w:cs="Arial"/>
          <w:sz w:val="20"/>
          <w:szCs w:val="20"/>
          <w:lang w:eastAsia="zh-CN"/>
        </w:rPr>
        <w:t>ing</w:t>
      </w:r>
      <w:r w:rsidRPr="000E0C38">
        <w:rPr>
          <w:rFonts w:ascii="Arial" w:eastAsia="SimSun" w:hAnsi="Arial" w:cs="Arial"/>
          <w:sz w:val="20"/>
          <w:szCs w:val="20"/>
          <w:lang w:eastAsia="zh-CN"/>
        </w:rPr>
        <w:t xml:space="preserve"> training institutions and key sector players to design and implement demand-led training programmes, perf</w:t>
      </w:r>
      <w:r w:rsidR="00FF2957" w:rsidRPr="000E0C38">
        <w:rPr>
          <w:rFonts w:ascii="Arial" w:eastAsia="SimSun" w:hAnsi="Arial" w:cs="Arial"/>
          <w:sz w:val="20"/>
          <w:szCs w:val="20"/>
          <w:lang w:eastAsia="zh-CN"/>
        </w:rPr>
        <w:t>orm regular</w:t>
      </w:r>
      <w:r w:rsidRPr="000E0C38">
        <w:rPr>
          <w:rFonts w:ascii="Arial" w:eastAsia="SimSun" w:hAnsi="Arial" w:cs="Arial"/>
          <w:sz w:val="20"/>
          <w:szCs w:val="20"/>
          <w:lang w:eastAsia="zh-CN"/>
        </w:rPr>
        <w:t xml:space="preserve"> training needs assessments and tracer studies.</w:t>
      </w:r>
      <w:r w:rsidR="00FC3D6E" w:rsidRPr="000E0C38">
        <w:rPr>
          <w:rFonts w:ascii="Arial" w:eastAsia="SimSun" w:hAnsi="Arial" w:cs="Arial"/>
          <w:sz w:val="20"/>
          <w:szCs w:val="20"/>
          <w:vertAlign w:val="superscript"/>
          <w:lang w:eastAsia="zh-CN"/>
        </w:rPr>
        <w:footnoteReference w:id="84"/>
      </w:r>
    </w:p>
    <w:p w14:paraId="0D367B93" w14:textId="77777777" w:rsidR="006246A5" w:rsidRPr="000E0C38" w:rsidRDefault="006246A5" w:rsidP="008F4768">
      <w:pPr>
        <w:pStyle w:val="Heading2"/>
        <w:spacing w:before="0"/>
      </w:pPr>
      <w:bookmarkStart w:id="37" w:name="_Toc498019405"/>
      <w:r w:rsidRPr="000E0C38">
        <w:t>3.</w:t>
      </w:r>
      <w:r w:rsidR="004F1705" w:rsidRPr="000E0C38">
        <w:t>7</w:t>
      </w:r>
      <w:r w:rsidRPr="000E0C38">
        <w:t xml:space="preserve"> Overcoming barriers to </w:t>
      </w:r>
      <w:r w:rsidR="004F1705" w:rsidRPr="000E0C38">
        <w:t>successful implementation</w:t>
      </w:r>
      <w:bookmarkEnd w:id="37"/>
    </w:p>
    <w:p w14:paraId="7E2F7D95" w14:textId="77777777" w:rsidR="006246A5" w:rsidRPr="000E0C38" w:rsidRDefault="006246A5" w:rsidP="00432BEF">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This chapter </w:t>
      </w:r>
      <w:r w:rsidR="004F1705" w:rsidRPr="000E0C38">
        <w:rPr>
          <w:rFonts w:ascii="Arial" w:eastAsia="SimSun" w:hAnsi="Arial" w:cs="Arial"/>
          <w:sz w:val="20"/>
          <w:szCs w:val="20"/>
          <w:lang w:eastAsia="zh-CN"/>
        </w:rPr>
        <w:t xml:space="preserve">has set out </w:t>
      </w:r>
      <w:r w:rsidR="00B453C1" w:rsidRPr="000E0C38">
        <w:rPr>
          <w:rFonts w:ascii="Arial" w:eastAsia="SimSun" w:hAnsi="Arial" w:cs="Arial"/>
          <w:sz w:val="20"/>
          <w:szCs w:val="20"/>
          <w:lang w:eastAsia="zh-CN"/>
        </w:rPr>
        <w:t>several</w:t>
      </w:r>
      <w:r w:rsidRPr="000E0C38">
        <w:rPr>
          <w:rFonts w:ascii="Arial" w:eastAsia="SimSun" w:hAnsi="Arial" w:cs="Arial"/>
          <w:sz w:val="20"/>
          <w:szCs w:val="20"/>
          <w:lang w:eastAsia="zh-CN"/>
        </w:rPr>
        <w:t xml:space="preserve"> programming areas where DFID might engage, building upon the challenges identified in Chapter 2.  However, </w:t>
      </w:r>
      <w:r w:rsidR="00B453C1" w:rsidRPr="000E0C38">
        <w:rPr>
          <w:rFonts w:ascii="Arial" w:eastAsia="SimSun" w:hAnsi="Arial" w:cs="Arial"/>
          <w:sz w:val="20"/>
          <w:szCs w:val="20"/>
          <w:lang w:eastAsia="zh-CN"/>
        </w:rPr>
        <w:t>successful programming</w:t>
      </w:r>
      <w:r w:rsidRPr="000E0C38">
        <w:rPr>
          <w:rFonts w:ascii="Arial" w:eastAsia="SimSun" w:hAnsi="Arial" w:cs="Arial"/>
          <w:sz w:val="20"/>
          <w:szCs w:val="20"/>
          <w:lang w:eastAsia="zh-CN"/>
        </w:rPr>
        <w:t xml:space="preserve"> requires an understanding of why </w:t>
      </w:r>
      <w:r w:rsidR="00B453C1" w:rsidRPr="000E0C38">
        <w:rPr>
          <w:rFonts w:ascii="Arial" w:eastAsia="SimSun" w:hAnsi="Arial" w:cs="Arial"/>
          <w:sz w:val="20"/>
          <w:szCs w:val="20"/>
          <w:lang w:eastAsia="zh-CN"/>
        </w:rPr>
        <w:t xml:space="preserve">some programmes are successful and other fail given a range of market and </w:t>
      </w:r>
      <w:r w:rsidRPr="000E0C38">
        <w:rPr>
          <w:rFonts w:ascii="Arial" w:eastAsia="SimSun" w:hAnsi="Arial" w:cs="Arial"/>
          <w:sz w:val="20"/>
          <w:szCs w:val="20"/>
          <w:lang w:eastAsia="zh-CN"/>
        </w:rPr>
        <w:t xml:space="preserve">political economy challenges. </w:t>
      </w:r>
    </w:p>
    <w:p w14:paraId="7EF1AC65" w14:textId="77777777" w:rsidR="006246A5" w:rsidRPr="000E0C38" w:rsidRDefault="004F1705" w:rsidP="00432BEF">
      <w:pPr>
        <w:spacing w:after="120" w:line="276" w:lineRule="auto"/>
        <w:jc w:val="both"/>
        <w:rPr>
          <w:rFonts w:ascii="Arial" w:eastAsia="SimSun" w:hAnsi="Arial" w:cs="Arial"/>
          <w:sz w:val="20"/>
          <w:szCs w:val="20"/>
          <w:lang w:eastAsia="zh-CN"/>
        </w:rPr>
      </w:pPr>
      <w:r w:rsidRPr="000E0C38">
        <w:rPr>
          <w:rFonts w:ascii="Arial" w:eastAsia="SimSun" w:hAnsi="Arial" w:cs="Arial"/>
          <w:sz w:val="20"/>
          <w:szCs w:val="20"/>
          <w:lang w:eastAsia="zh-CN"/>
        </w:rPr>
        <w:t xml:space="preserve">Programming interventions often occur against countervailing trends that undermine efforts to encourage structural reform within construction sector employment.  </w:t>
      </w:r>
      <w:r w:rsidR="006246A5" w:rsidRPr="000E0C38">
        <w:rPr>
          <w:rFonts w:ascii="Arial" w:eastAsia="SimSun" w:hAnsi="Arial" w:cs="Arial"/>
          <w:sz w:val="20"/>
          <w:szCs w:val="20"/>
          <w:lang w:eastAsia="zh-CN"/>
        </w:rPr>
        <w:t xml:space="preserve">Some of </w:t>
      </w:r>
      <w:r w:rsidRPr="000E0C38">
        <w:rPr>
          <w:rFonts w:ascii="Arial" w:eastAsia="SimSun" w:hAnsi="Arial" w:cs="Arial"/>
          <w:sz w:val="20"/>
          <w:szCs w:val="20"/>
          <w:lang w:eastAsia="zh-CN"/>
        </w:rPr>
        <w:t>these trends include</w:t>
      </w:r>
      <w:r w:rsidR="006246A5" w:rsidRPr="000E0C38">
        <w:rPr>
          <w:rFonts w:ascii="Arial" w:eastAsia="SimSun" w:hAnsi="Arial" w:cs="Arial"/>
          <w:sz w:val="20"/>
          <w:szCs w:val="20"/>
          <w:lang w:eastAsia="zh-CN"/>
        </w:rPr>
        <w:t>:</w:t>
      </w:r>
    </w:p>
    <w:p w14:paraId="186F94DB" w14:textId="77777777" w:rsidR="006246A5" w:rsidRPr="000E0C38" w:rsidRDefault="004F1705" w:rsidP="00831B36">
      <w:pPr>
        <w:pStyle w:val="ListParagraph"/>
        <w:numPr>
          <w:ilvl w:val="0"/>
          <w:numId w:val="22"/>
        </w:numPr>
        <w:spacing w:after="0"/>
        <w:ind w:left="426" w:hanging="426"/>
        <w:contextualSpacing w:val="0"/>
        <w:rPr>
          <w:rFonts w:ascii="Arial" w:eastAsia="SimSun" w:hAnsi="Arial" w:cs="Arial"/>
          <w:sz w:val="20"/>
          <w:szCs w:val="20"/>
        </w:rPr>
      </w:pPr>
      <w:r w:rsidRPr="000E0C38">
        <w:rPr>
          <w:rFonts w:ascii="Arial" w:eastAsia="SimSun" w:hAnsi="Arial" w:cs="Arial"/>
          <w:b/>
          <w:i/>
          <w:sz w:val="20"/>
          <w:szCs w:val="20"/>
        </w:rPr>
        <w:t>Increasing c</w:t>
      </w:r>
      <w:r w:rsidR="006246A5" w:rsidRPr="000E0C38">
        <w:rPr>
          <w:rFonts w:ascii="Arial" w:eastAsia="SimSun" w:hAnsi="Arial" w:cs="Arial"/>
          <w:b/>
          <w:i/>
          <w:sz w:val="20"/>
          <w:szCs w:val="20"/>
        </w:rPr>
        <w:t>ost pressures:</w:t>
      </w:r>
      <w:r w:rsidR="006246A5" w:rsidRPr="000E0C38">
        <w:rPr>
          <w:rFonts w:ascii="Arial" w:eastAsia="SimSun" w:hAnsi="Arial" w:cs="Arial"/>
          <w:sz w:val="20"/>
          <w:szCs w:val="20"/>
        </w:rPr>
        <w:t xml:space="preserve"> Public budgets for construction remain under pressure in most DFID-focus countries due to a narrow revenue base and competing spending priorities (e.g. social welfare, health, education).  The use of more competitive procurement practices and cost-benchmarking in public sector construction contracts is also driving lower cost provision. A reduction in costs often is accompanied by lower social and environmental standards where these are not properly enforced. Private sector developers are likewise driven by a competitive environment that prioritises cost minimisation, and which often operates under weak compliance and enforcement systems. This combination can often result in social safeguards being absent in construction projects and across the wider supply chain.</w:t>
      </w:r>
    </w:p>
    <w:p w14:paraId="0BAE5A45" w14:textId="77777777" w:rsidR="006246A5" w:rsidRPr="000E0C38" w:rsidRDefault="004F1705" w:rsidP="00831B36">
      <w:pPr>
        <w:pStyle w:val="ListParagraph"/>
        <w:numPr>
          <w:ilvl w:val="0"/>
          <w:numId w:val="22"/>
        </w:numPr>
        <w:spacing w:after="0"/>
        <w:ind w:left="426" w:hanging="426"/>
        <w:contextualSpacing w:val="0"/>
        <w:rPr>
          <w:rFonts w:ascii="Arial" w:eastAsia="SimSun" w:hAnsi="Arial" w:cs="Arial"/>
          <w:sz w:val="20"/>
          <w:szCs w:val="20"/>
        </w:rPr>
      </w:pPr>
      <w:r w:rsidRPr="000E0C38">
        <w:rPr>
          <w:rFonts w:ascii="Arial" w:eastAsia="SimSun" w:hAnsi="Arial" w:cs="Arial"/>
          <w:b/>
          <w:i/>
          <w:sz w:val="20"/>
          <w:szCs w:val="20"/>
        </w:rPr>
        <w:t>Increasing informalisation</w:t>
      </w:r>
      <w:r w:rsidR="006246A5" w:rsidRPr="000E0C38">
        <w:rPr>
          <w:rFonts w:ascii="Arial" w:eastAsia="SimSun" w:hAnsi="Arial" w:cs="Arial"/>
          <w:b/>
          <w:i/>
          <w:sz w:val="20"/>
          <w:szCs w:val="20"/>
        </w:rPr>
        <w:t>:</w:t>
      </w:r>
      <w:r w:rsidR="006246A5" w:rsidRPr="000E0C38">
        <w:rPr>
          <w:rFonts w:ascii="Arial" w:eastAsia="SimSun" w:hAnsi="Arial" w:cs="Arial"/>
          <w:sz w:val="20"/>
          <w:szCs w:val="20"/>
        </w:rPr>
        <w:t xml:space="preserve"> Linked to the above, there is a growing trend towards declining formalisation of employment contracts, despite ongoing efforts to promote better practice by ILO and others. Whereas in LICs, the majority of workers have always been informally employed, the number employed on formal contracts has also declined in both the public and private sectors. Perceptions of increased flexibility, and lower levels of costs / bureaucracy can engender negative perceptions of employment rights, collective bargaining, and greater formalisation.</w:t>
      </w:r>
    </w:p>
    <w:p w14:paraId="3AC9D232" w14:textId="77777777" w:rsidR="006246A5" w:rsidRPr="000E0C38" w:rsidRDefault="004F1705" w:rsidP="00831B36">
      <w:pPr>
        <w:pStyle w:val="ListParagraph"/>
        <w:numPr>
          <w:ilvl w:val="0"/>
          <w:numId w:val="22"/>
        </w:numPr>
        <w:spacing w:after="0"/>
        <w:ind w:left="426" w:hanging="426"/>
        <w:contextualSpacing w:val="0"/>
        <w:rPr>
          <w:rFonts w:ascii="Arial" w:eastAsia="SimSun" w:hAnsi="Arial" w:cs="Arial"/>
          <w:sz w:val="20"/>
          <w:szCs w:val="20"/>
        </w:rPr>
      </w:pPr>
      <w:r w:rsidRPr="000E0C38">
        <w:rPr>
          <w:rFonts w:ascii="Arial" w:eastAsia="SimSun" w:hAnsi="Arial" w:cs="Arial"/>
          <w:b/>
          <w:i/>
          <w:sz w:val="20"/>
          <w:szCs w:val="20"/>
        </w:rPr>
        <w:t>Increasing oversupply</w:t>
      </w:r>
      <w:r w:rsidR="006246A5" w:rsidRPr="000E0C38">
        <w:rPr>
          <w:rFonts w:ascii="Arial" w:eastAsia="SimSun" w:hAnsi="Arial" w:cs="Arial"/>
          <w:b/>
          <w:i/>
          <w:sz w:val="20"/>
          <w:szCs w:val="20"/>
        </w:rPr>
        <w:t xml:space="preserve"> of unskilled labour:</w:t>
      </w:r>
      <w:r w:rsidR="006246A5" w:rsidRPr="000E0C38">
        <w:rPr>
          <w:rFonts w:ascii="Arial" w:eastAsia="SimSun" w:hAnsi="Arial" w:cs="Arial"/>
          <w:sz w:val="20"/>
          <w:szCs w:val="20"/>
        </w:rPr>
        <w:t xml:space="preserve"> High levels of youth unemployment and migration mean that construction firms often have access to large pools of lower-skilled labour. This not only depresses wages, but can encourage an ongoing reliance on less efficient and more dangerous approaches to construction, rather than investing in higher skilled or more capital-intensive approaches that use increased mechanisation or pre-fabrication.</w:t>
      </w:r>
    </w:p>
    <w:p w14:paraId="6B91ACCA" w14:textId="77777777" w:rsidR="006246A5" w:rsidRPr="000E0C38" w:rsidRDefault="004F1705" w:rsidP="00831B36">
      <w:pPr>
        <w:pStyle w:val="ListParagraph"/>
        <w:numPr>
          <w:ilvl w:val="0"/>
          <w:numId w:val="22"/>
        </w:numPr>
        <w:spacing w:after="120"/>
        <w:ind w:left="425" w:hanging="425"/>
        <w:contextualSpacing w:val="0"/>
        <w:rPr>
          <w:rFonts w:ascii="Arial" w:eastAsia="SimSun" w:hAnsi="Arial" w:cs="Arial"/>
          <w:sz w:val="20"/>
          <w:szCs w:val="20"/>
        </w:rPr>
      </w:pPr>
      <w:r w:rsidRPr="000E0C38">
        <w:rPr>
          <w:rFonts w:ascii="Arial" w:eastAsia="SimSun" w:hAnsi="Arial" w:cs="Arial"/>
          <w:b/>
          <w:i/>
          <w:sz w:val="20"/>
          <w:szCs w:val="20"/>
        </w:rPr>
        <w:t xml:space="preserve">Ongoing </w:t>
      </w:r>
      <w:r w:rsidR="006246A5" w:rsidRPr="000E0C38">
        <w:rPr>
          <w:rFonts w:ascii="Arial" w:eastAsia="SimSun" w:hAnsi="Arial" w:cs="Arial"/>
          <w:b/>
          <w:i/>
          <w:sz w:val="20"/>
          <w:szCs w:val="20"/>
        </w:rPr>
        <w:t>capacity and knowledge</w:t>
      </w:r>
      <w:r w:rsidRPr="000E0C38">
        <w:rPr>
          <w:rFonts w:ascii="Arial" w:eastAsia="SimSun" w:hAnsi="Arial" w:cs="Arial"/>
          <w:b/>
          <w:i/>
          <w:sz w:val="20"/>
          <w:szCs w:val="20"/>
        </w:rPr>
        <w:t xml:space="preserve"> </w:t>
      </w:r>
      <w:r w:rsidR="00B01752" w:rsidRPr="000E0C38">
        <w:rPr>
          <w:rFonts w:ascii="Arial" w:eastAsia="SimSun" w:hAnsi="Arial" w:cs="Arial"/>
          <w:b/>
          <w:i/>
          <w:sz w:val="20"/>
          <w:szCs w:val="20"/>
        </w:rPr>
        <w:t>deficits</w:t>
      </w:r>
      <w:r w:rsidR="006246A5" w:rsidRPr="000E0C38">
        <w:rPr>
          <w:rFonts w:ascii="Arial" w:eastAsia="SimSun" w:hAnsi="Arial" w:cs="Arial"/>
          <w:b/>
          <w:i/>
          <w:sz w:val="20"/>
          <w:szCs w:val="20"/>
        </w:rPr>
        <w:t>:</w:t>
      </w:r>
      <w:r w:rsidR="006246A5" w:rsidRPr="000E0C38">
        <w:rPr>
          <w:rFonts w:ascii="Arial" w:eastAsia="SimSun" w:hAnsi="Arial" w:cs="Arial"/>
          <w:sz w:val="20"/>
          <w:szCs w:val="20"/>
        </w:rPr>
        <w:t xml:space="preserve"> There remain basic knowledge and institutional capacity gaps in relation to how to organise and promote good practice in construction employment, including around OSH. The lack of good practice can create uncertainty among construction firms and policy makers as to whether the introduction of new legislation and / or more robust enforcement will damage economic activity by raising costs or exclude informal and poor communities from a valuable source of income.</w:t>
      </w:r>
    </w:p>
    <w:p w14:paraId="6E264D69" w14:textId="77777777" w:rsidR="009809C2" w:rsidRPr="000E0C38" w:rsidRDefault="009809C2" w:rsidP="00991DB7">
      <w:pPr>
        <w:pStyle w:val="BodyText"/>
        <w:spacing w:after="120" w:line="276" w:lineRule="auto"/>
        <w:jc w:val="both"/>
      </w:pPr>
    </w:p>
    <w:p w14:paraId="4E74AB9B" w14:textId="77777777" w:rsidR="009809C2" w:rsidRPr="000E0C38" w:rsidRDefault="009809C2" w:rsidP="00991DB7">
      <w:pPr>
        <w:pStyle w:val="BodyText"/>
        <w:spacing w:after="120" w:line="276" w:lineRule="auto"/>
        <w:jc w:val="both"/>
      </w:pPr>
    </w:p>
    <w:p w14:paraId="4E9EBF69" w14:textId="38307738" w:rsidR="006246A5" w:rsidRPr="000E0C38" w:rsidRDefault="006246A5" w:rsidP="00991DB7">
      <w:pPr>
        <w:pStyle w:val="BodyText"/>
        <w:spacing w:after="120" w:line="276" w:lineRule="auto"/>
        <w:jc w:val="both"/>
      </w:pPr>
      <w:r w:rsidRPr="000E0C38">
        <w:lastRenderedPageBreak/>
        <w:t xml:space="preserve">As a result, there are significant barriers to delivering successful interventions. </w:t>
      </w:r>
      <w:r w:rsidR="004F1705" w:rsidRPr="000E0C38">
        <w:t>A</w:t>
      </w:r>
      <w:r w:rsidRPr="000E0C38">
        <w:t xml:space="preserve"> number of lessons can be learned from ex-post evaluations of construction labour interventions that are critical to underpinning the delivery of value (i.e. moving from the ‘what should be done’ to ‘how it should be done’).</w:t>
      </w:r>
      <w:r w:rsidR="009D4B55" w:rsidRPr="000E0C38">
        <w:rPr>
          <w:rStyle w:val="FootnoteReference"/>
        </w:rPr>
        <w:footnoteReference w:id="85"/>
      </w:r>
      <w:r w:rsidR="004F1705" w:rsidRPr="000E0C38">
        <w:t xml:space="preserve"> </w:t>
      </w:r>
      <w:r w:rsidRPr="000E0C38">
        <w:t>These include:</w:t>
      </w:r>
    </w:p>
    <w:p w14:paraId="3B220D11" w14:textId="77777777" w:rsidR="006246A5" w:rsidRPr="000E0C38" w:rsidRDefault="006246A5" w:rsidP="00831B36">
      <w:pPr>
        <w:pStyle w:val="BodyText"/>
        <w:numPr>
          <w:ilvl w:val="0"/>
          <w:numId w:val="24"/>
        </w:numPr>
        <w:spacing w:after="0" w:line="276" w:lineRule="auto"/>
        <w:ind w:left="426" w:hanging="426"/>
        <w:jc w:val="both"/>
      </w:pPr>
      <w:r w:rsidRPr="000E0C38">
        <w:t>Engagement with high-level stakeholders (particularly to support regulatory reform and / or the adoption of voluntary best practice).</w:t>
      </w:r>
    </w:p>
    <w:p w14:paraId="245C0A90" w14:textId="77777777" w:rsidR="006246A5" w:rsidRPr="000E0C38" w:rsidRDefault="006246A5" w:rsidP="00831B36">
      <w:pPr>
        <w:pStyle w:val="BodyText"/>
        <w:numPr>
          <w:ilvl w:val="0"/>
          <w:numId w:val="24"/>
        </w:numPr>
        <w:spacing w:after="0" w:line="276" w:lineRule="auto"/>
        <w:ind w:left="426" w:hanging="426"/>
        <w:jc w:val="both"/>
      </w:pPr>
      <w:r w:rsidRPr="000E0C38">
        <w:t>Focussing efforts in a small number of high impact initiatives (to build visibility and trust).</w:t>
      </w:r>
    </w:p>
    <w:p w14:paraId="7A0DF16D" w14:textId="77777777" w:rsidR="006246A5" w:rsidRPr="000E0C38" w:rsidRDefault="006246A5" w:rsidP="00831B36">
      <w:pPr>
        <w:pStyle w:val="BodyText"/>
        <w:numPr>
          <w:ilvl w:val="0"/>
          <w:numId w:val="24"/>
        </w:numPr>
        <w:spacing w:after="0" w:line="276" w:lineRule="auto"/>
        <w:ind w:left="426" w:hanging="426"/>
        <w:jc w:val="both"/>
      </w:pPr>
      <w:r w:rsidRPr="000E0C38">
        <w:t>Engaging with both workers and private sector employers to ensure that incentives are aligned and that proposed solutions are acceptable.</w:t>
      </w:r>
    </w:p>
    <w:p w14:paraId="03F3EEDE" w14:textId="77777777" w:rsidR="006246A5" w:rsidRPr="000E0C38" w:rsidRDefault="006246A5" w:rsidP="00831B36">
      <w:pPr>
        <w:pStyle w:val="BodyText"/>
        <w:numPr>
          <w:ilvl w:val="0"/>
          <w:numId w:val="24"/>
        </w:numPr>
        <w:spacing w:after="0" w:line="276" w:lineRule="auto"/>
        <w:ind w:left="426" w:hanging="426"/>
        <w:jc w:val="both"/>
      </w:pPr>
      <w:r w:rsidRPr="000E0C38">
        <w:t>Anchoring initiatives in larger scale construction capital investment projects (to ensure economic viability, labour demand and skills relevance).</w:t>
      </w:r>
    </w:p>
    <w:p w14:paraId="401F6F53" w14:textId="77777777" w:rsidR="006246A5" w:rsidRPr="000E0C38" w:rsidRDefault="006246A5" w:rsidP="00831B36">
      <w:pPr>
        <w:pStyle w:val="BodyText"/>
        <w:numPr>
          <w:ilvl w:val="0"/>
          <w:numId w:val="24"/>
        </w:numPr>
        <w:spacing w:after="120" w:line="276" w:lineRule="auto"/>
        <w:ind w:left="426" w:hanging="426"/>
        <w:jc w:val="both"/>
      </w:pPr>
      <w:r w:rsidRPr="000E0C38">
        <w:t>Adopting a market supply chain based approach that looks at skill sets beyond pure construction labour, thereby supporting sector viability. Again, strong political economy approaches and robust stakeholder analysis are important.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497"/>
      </w:tblGrid>
      <w:tr w:rsidR="00076E1B" w:rsidRPr="000E0C38" w14:paraId="04037C78" w14:textId="77777777" w:rsidTr="00432BEF">
        <w:tc>
          <w:tcPr>
            <w:tcW w:w="9713" w:type="dxa"/>
            <w:shd w:val="clear" w:color="auto" w:fill="E7E6E6" w:themeFill="background2"/>
          </w:tcPr>
          <w:p w14:paraId="65E5A772" w14:textId="53B1CECB" w:rsidR="00076E1B" w:rsidRPr="000E0C38" w:rsidRDefault="00076E1B" w:rsidP="00432BEF">
            <w:pPr>
              <w:pStyle w:val="BodyText"/>
              <w:spacing w:before="40" w:after="120" w:line="276" w:lineRule="auto"/>
              <w:jc w:val="both"/>
              <w:rPr>
                <w:b/>
              </w:rPr>
            </w:pPr>
            <w:r w:rsidRPr="000E0C38">
              <w:rPr>
                <w:b/>
              </w:rPr>
              <w:t>BOX 4: Lessons learnt from ILO programmes</w:t>
            </w:r>
          </w:p>
          <w:p w14:paraId="6401D12A" w14:textId="526E4282" w:rsidR="00076E1B" w:rsidRPr="000E0C38" w:rsidRDefault="00076E1B" w:rsidP="00432BEF">
            <w:pPr>
              <w:pStyle w:val="BodyText"/>
              <w:spacing w:after="120" w:line="276" w:lineRule="auto"/>
              <w:jc w:val="both"/>
            </w:pPr>
            <w:r w:rsidRPr="000E0C38">
              <w:t xml:space="preserve">The </w:t>
            </w:r>
            <w:r w:rsidRPr="000E0C38">
              <w:rPr>
                <w:i/>
              </w:rPr>
              <w:t>Zambia Green Jobs</w:t>
            </w:r>
            <w:r w:rsidRPr="000E0C38">
              <w:t xml:space="preserve"> programme (2013-17) was created as a way of promoting sustainable development, while delivering economic benefits through the construction industry due its high labour intensity, low entry barriers for semi-skilled and unskilled labour, and high concentration of MSMEs.</w:t>
            </w:r>
            <w:r w:rsidRPr="000E0C38">
              <w:rPr>
                <w:vertAlign w:val="superscript"/>
              </w:rPr>
              <w:footnoteReference w:id="86"/>
            </w:r>
            <w:r w:rsidRPr="000E0C38">
              <w:rPr>
                <w:vertAlign w:val="superscript"/>
              </w:rPr>
              <w:t xml:space="preserve"> </w:t>
            </w:r>
            <w:r w:rsidRPr="000E0C38">
              <w:t xml:space="preserve">It also offered a framework to address social welfare issues within the sector (accidents, injuries, ill health and lack of associated social protection safety net). To be successful, the programme identified the participation and commitment of high-level stakeholders as critical to underpinning transformational change at sector level, particularly around both regulation and voluntary adoption of best practices. This was done through various interventions including advocacy messages on </w:t>
            </w:r>
            <w:proofErr w:type="spellStart"/>
            <w:r w:rsidRPr="000E0C38">
              <w:t>mindset</w:t>
            </w:r>
            <w:proofErr w:type="spellEnd"/>
            <w:r w:rsidRPr="000E0C38">
              <w:t xml:space="preserve"> change, demonstrations with private sector partnerships, as well as skills and technology development with technical and vocational training centres and universities.</w:t>
            </w:r>
          </w:p>
          <w:p w14:paraId="34C21492" w14:textId="77777777" w:rsidR="00076E1B" w:rsidRPr="000E0C38" w:rsidRDefault="00076E1B" w:rsidP="00432BEF">
            <w:pPr>
              <w:pStyle w:val="BodyText"/>
              <w:spacing w:after="120" w:line="276" w:lineRule="auto"/>
              <w:jc w:val="both"/>
            </w:pPr>
            <w:r w:rsidRPr="000E0C38">
              <w:t>Also important was the adoption of a market systems development framework and value chain approach to ensure that potential solutions were acceptable to all participants, and took into account different interests and incentives.  For that reason, it collaborated with a wide range of stakeholders (government ministries and agencies, financial institutions, business development service providers, associations of small- scale contractors and other private sector players) in Zambia's building construction industry. Of particular value was anchoring the project around large-scale capital investment projects (e.g. mine related housing schemes) and building the market linkages to suppliers, i.e. connecting the investment projects with green MSMEs with whom the project was already working and addressing concerns for collaboration. The programme recognised that an integrated approach, combining policy, finance and business development services was likely to be more effective than a single intervention.</w:t>
            </w:r>
          </w:p>
          <w:p w14:paraId="32626683" w14:textId="6AFA49D1" w:rsidR="00076E1B" w:rsidRPr="000E0C38" w:rsidRDefault="00076E1B" w:rsidP="00432BEF">
            <w:pPr>
              <w:pStyle w:val="BodyText"/>
              <w:spacing w:after="120" w:line="276" w:lineRule="auto"/>
              <w:jc w:val="both"/>
            </w:pPr>
            <w:r w:rsidRPr="000E0C38">
              <w:t xml:space="preserve">Another example is the </w:t>
            </w:r>
            <w:r w:rsidRPr="000E0C38">
              <w:rPr>
                <w:i/>
              </w:rPr>
              <w:t>Facilitating Formalization of Informal Economy in South Asia</w:t>
            </w:r>
            <w:r w:rsidRPr="000E0C38">
              <w:t xml:space="preserve"> programme (2012-2017).</w:t>
            </w:r>
            <w:r w:rsidRPr="000E0C38">
              <w:rPr>
                <w:vertAlign w:val="superscript"/>
              </w:rPr>
              <w:t xml:space="preserve"> </w:t>
            </w:r>
            <w:r w:rsidRPr="000E0C38">
              <w:rPr>
                <w:vertAlign w:val="superscript"/>
              </w:rPr>
              <w:footnoteReference w:id="87"/>
            </w:r>
            <w:r w:rsidRPr="000E0C38">
              <w:t xml:space="preserve"> The programme supported formalisation efforts in the construction sector in both Bangladesh and Nepal. Among other elements, the programme addressed inclusion through promoting equal wages for men and women undertaking similar work in the construction sector, and promoting female entrepreneurship opportunities to bypass barriers presented by male dominated supervision and management bureaucracy. Among key success factors identified for delivery of the project were the need for high-level political engagement (particularly around creating the regulatory and business enabling environment); and the need to work with strategic partners on visible and high impact initiatives to build and create trust across the sector. Their inclusive approach that recognises / involves both workers and private sector partners to ensure that incentives between employers and employees are clearly aligned also contributed to the success of the programme.</w:t>
            </w:r>
          </w:p>
        </w:tc>
      </w:tr>
    </w:tbl>
    <w:p w14:paraId="5D598CBA" w14:textId="77777777" w:rsidR="006246A5" w:rsidRPr="000E0C38" w:rsidRDefault="006246A5" w:rsidP="008F4768">
      <w:pPr>
        <w:spacing w:line="260" w:lineRule="atLeast"/>
        <w:jc w:val="both"/>
        <w:rPr>
          <w:rFonts w:ascii="Arial" w:eastAsia="SimSun" w:hAnsi="Arial" w:cs="Arial"/>
          <w:sz w:val="20"/>
          <w:szCs w:val="20"/>
          <w:lang w:eastAsia="zh-CN"/>
        </w:rPr>
      </w:pPr>
    </w:p>
    <w:p w14:paraId="4F789722" w14:textId="77777777" w:rsidR="003F368F" w:rsidRPr="000E0C38" w:rsidRDefault="003F368F" w:rsidP="008F4768">
      <w:pPr>
        <w:pStyle w:val="Heading1NoSpacing"/>
        <w:framePr w:w="9788" w:h="2789" w:hRule="exact" w:wrap="auto"/>
      </w:pPr>
      <w:bookmarkStart w:id="38" w:name="_Toc498019406"/>
      <w:r w:rsidRPr="000E0C38">
        <w:lastRenderedPageBreak/>
        <w:t>4. Would investing in strengthening the construction industry and creating / improving the quality of jobs in the construction industry create good value for money (</w:t>
      </w:r>
      <w:r w:rsidR="00495CED" w:rsidRPr="000E0C38">
        <w:t>VFM</w:t>
      </w:r>
      <w:r w:rsidRPr="000E0C38">
        <w:t>) for UK Aid?</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BD1EE" w:themeFill="text2" w:themeFillTint="33"/>
        <w:tblLook w:val="04A0" w:firstRow="1" w:lastRow="0" w:firstColumn="1" w:lastColumn="0" w:noHBand="0" w:noVBand="1"/>
      </w:tblPr>
      <w:tblGrid>
        <w:gridCol w:w="9497"/>
      </w:tblGrid>
      <w:tr w:rsidR="00985A6F" w:rsidRPr="000E0C38" w14:paraId="58A30428" w14:textId="77777777" w:rsidTr="00432BEF">
        <w:tc>
          <w:tcPr>
            <w:tcW w:w="9713" w:type="dxa"/>
            <w:shd w:val="clear" w:color="auto" w:fill="CBD1EE" w:themeFill="text2" w:themeFillTint="33"/>
          </w:tcPr>
          <w:p w14:paraId="4E9BDBB9" w14:textId="6068AAF4" w:rsidR="00985A6F" w:rsidRPr="000E0C38" w:rsidRDefault="00985A6F" w:rsidP="00EE4A7F">
            <w:pPr>
              <w:pStyle w:val="BodyText"/>
              <w:spacing w:after="120"/>
              <w:rPr>
                <w:rFonts w:ascii="Times New Roman" w:hAnsi="Times New Roman" w:cs="Times New Roman"/>
                <w:b/>
                <w:i/>
                <w:sz w:val="28"/>
                <w:szCs w:val="28"/>
              </w:rPr>
            </w:pPr>
            <w:bookmarkStart w:id="39" w:name="_Toc498019407"/>
            <w:r w:rsidRPr="000E0C38">
              <w:rPr>
                <w:rFonts w:ascii="Times New Roman" w:hAnsi="Times New Roman" w:cs="Times New Roman"/>
                <w:b/>
                <w:i/>
                <w:sz w:val="28"/>
                <w:szCs w:val="28"/>
                <w:lang w:eastAsia="en-US"/>
              </w:rPr>
              <w:t>Key Findings</w:t>
            </w:r>
            <w:bookmarkEnd w:id="39"/>
          </w:p>
          <w:p w14:paraId="502F4B47" w14:textId="10BD5101" w:rsidR="009C68CD" w:rsidRPr="000E0C38" w:rsidRDefault="00985A6F" w:rsidP="00831B36">
            <w:pPr>
              <w:pStyle w:val="BodyText"/>
              <w:numPr>
                <w:ilvl w:val="0"/>
                <w:numId w:val="26"/>
              </w:numPr>
              <w:spacing w:after="0" w:line="276" w:lineRule="auto"/>
              <w:jc w:val="both"/>
            </w:pPr>
            <w:r w:rsidRPr="000E0C38">
              <w:t xml:space="preserve">The report finds that support for the construction sector can provide </w:t>
            </w:r>
            <w:r w:rsidR="0031791D" w:rsidRPr="000E0C38">
              <w:t xml:space="preserve">significant </w:t>
            </w:r>
            <w:r w:rsidRPr="000E0C38">
              <w:t>benefits in terms of economic and employment effects, and potentially greater than those available in other sectors.</w:t>
            </w:r>
            <w:r w:rsidR="009C68CD" w:rsidRPr="000E0C38">
              <w:t xml:space="preserve">  A recent study estimated total economic multipliers in high</w:t>
            </w:r>
            <w:r w:rsidR="00C072ED" w:rsidRPr="000E0C38">
              <w:t>-</w:t>
            </w:r>
            <w:r w:rsidR="009C68CD" w:rsidRPr="000E0C38">
              <w:t xml:space="preserve"> and middle</w:t>
            </w:r>
            <w:r w:rsidR="00C072ED" w:rsidRPr="000E0C38">
              <w:t>-</w:t>
            </w:r>
            <w:r w:rsidR="009C68CD" w:rsidRPr="000E0C38">
              <w:t xml:space="preserve">income countries to be </w:t>
            </w:r>
            <w:r w:rsidR="002638F1" w:rsidRPr="000E0C38">
              <w:t xml:space="preserve">greater than </w:t>
            </w:r>
            <w:r w:rsidR="009C68CD" w:rsidRPr="000E0C38">
              <w:t>3:1</w:t>
            </w:r>
            <w:r w:rsidR="0031791D" w:rsidRPr="000E0C38">
              <w:t xml:space="preserve">, </w:t>
            </w:r>
            <w:r w:rsidR="009C68CD" w:rsidRPr="000E0C38">
              <w:t xml:space="preserve">based on direct, indirect and induced economic </w:t>
            </w:r>
            <w:r w:rsidR="0031791D" w:rsidRPr="000E0C38">
              <w:t>outputs (ILO 2015e).  In the same study, employment creation was estimated at 158 jobs per million US dollars invested in a sample of middle income countries.</w:t>
            </w:r>
          </w:p>
          <w:p w14:paraId="4C492E55" w14:textId="4F442CD1" w:rsidR="00985A6F" w:rsidRPr="000E0C38" w:rsidRDefault="002638F1" w:rsidP="00AA0013">
            <w:pPr>
              <w:pStyle w:val="BodyText"/>
              <w:numPr>
                <w:ilvl w:val="0"/>
                <w:numId w:val="26"/>
              </w:numPr>
              <w:spacing w:after="0" w:line="276" w:lineRule="auto"/>
              <w:jc w:val="both"/>
            </w:pPr>
            <w:r w:rsidRPr="000E0C38">
              <w:t>Core economic value</w:t>
            </w:r>
            <w:r w:rsidR="00C072ED" w:rsidRPr="000E0C38">
              <w:t xml:space="preserve"> derives from </w:t>
            </w:r>
            <w:r w:rsidR="009C68CD" w:rsidRPr="000E0C38">
              <w:t xml:space="preserve">the </w:t>
            </w:r>
            <w:r w:rsidRPr="000E0C38">
              <w:t>development</w:t>
            </w:r>
            <w:r w:rsidR="009C68CD" w:rsidRPr="000E0C38">
              <w:t>, renovation, repair or extension of fixed assets (buildings, land improvements, engineering assets)</w:t>
            </w:r>
            <w:r w:rsidR="0031791D" w:rsidRPr="000E0C38">
              <w:t xml:space="preserve">.  </w:t>
            </w:r>
            <w:r w:rsidRPr="000E0C38">
              <w:t>However, t</w:t>
            </w:r>
            <w:r w:rsidR="009C68CD" w:rsidRPr="000E0C38">
              <w:t xml:space="preserve">he construction sector </w:t>
            </w:r>
            <w:r w:rsidR="00C072ED" w:rsidRPr="000E0C38">
              <w:t xml:space="preserve">also </w:t>
            </w:r>
            <w:r w:rsidR="009C68CD" w:rsidRPr="000E0C38">
              <w:t xml:space="preserve">has significant backward </w:t>
            </w:r>
            <w:r w:rsidR="0031791D" w:rsidRPr="000E0C38">
              <w:t xml:space="preserve">and forward </w:t>
            </w:r>
            <w:r w:rsidR="009C68CD" w:rsidRPr="000E0C38">
              <w:t>linkage</w:t>
            </w:r>
            <w:r w:rsidR="0031791D" w:rsidRPr="000E0C38">
              <w:t>s</w:t>
            </w:r>
            <w:r w:rsidR="009C68CD" w:rsidRPr="000E0C38">
              <w:t xml:space="preserve">.  </w:t>
            </w:r>
            <w:r w:rsidR="0031791D" w:rsidRPr="000E0C38">
              <w:t>Supply chain</w:t>
            </w:r>
            <w:r w:rsidR="00C072ED" w:rsidRPr="000E0C38">
              <w:t xml:space="preserve"> benefits</w:t>
            </w:r>
            <w:r w:rsidR="0031791D" w:rsidRPr="000E0C38">
              <w:t xml:space="preserve"> can include the development of input industries</w:t>
            </w:r>
            <w:r w:rsidR="00C072ED" w:rsidRPr="000E0C38">
              <w:t xml:space="preserve">, including </w:t>
            </w:r>
            <w:r w:rsidR="009C68CD" w:rsidRPr="000E0C38">
              <w:t>cement, steel, paints and chemicals, glass, timber and machinery, alongside construction services</w:t>
            </w:r>
            <w:r w:rsidR="00C072ED" w:rsidRPr="000E0C38">
              <w:t xml:space="preserve">, </w:t>
            </w:r>
            <w:r w:rsidR="009C68CD" w:rsidRPr="000E0C38">
              <w:t xml:space="preserve">planning and design, finance, </w:t>
            </w:r>
            <w:r w:rsidR="00C072ED" w:rsidRPr="000E0C38">
              <w:t>enforcement</w:t>
            </w:r>
            <w:r w:rsidR="009C68CD" w:rsidRPr="000E0C38">
              <w:t>.</w:t>
            </w:r>
            <w:r w:rsidR="0031791D" w:rsidRPr="000E0C38">
              <w:t xml:space="preserve">   The </w:t>
            </w:r>
            <w:r w:rsidR="00985A6F" w:rsidRPr="000E0C38">
              <w:t xml:space="preserve">construction sector </w:t>
            </w:r>
            <w:r w:rsidR="0031791D" w:rsidRPr="000E0C38">
              <w:t xml:space="preserve">also </w:t>
            </w:r>
            <w:r w:rsidR="00C072ED" w:rsidRPr="000E0C38">
              <w:t xml:space="preserve">has forward linkages, </w:t>
            </w:r>
            <w:r w:rsidR="00985A6F" w:rsidRPr="000E0C38">
              <w:t>underpin</w:t>
            </w:r>
            <w:r w:rsidR="00C072ED" w:rsidRPr="000E0C38">
              <w:t>ning</w:t>
            </w:r>
            <w:r w:rsidR="00985A6F" w:rsidRPr="000E0C38">
              <w:t xml:space="preserve"> economic development in other sectors</w:t>
            </w:r>
            <w:r w:rsidR="0031791D" w:rsidRPr="000E0C38">
              <w:t xml:space="preserve">, </w:t>
            </w:r>
            <w:r w:rsidR="00C072ED" w:rsidRPr="000E0C38">
              <w:t xml:space="preserve">including </w:t>
            </w:r>
            <w:r w:rsidR="00985A6F" w:rsidRPr="000E0C38">
              <w:t>transport, housing, power</w:t>
            </w:r>
            <w:r w:rsidR="009C68CD" w:rsidRPr="000E0C38">
              <w:t>, water</w:t>
            </w:r>
            <w:r w:rsidR="0053299E" w:rsidRPr="000E0C38">
              <w:t xml:space="preserve">, </w:t>
            </w:r>
            <w:r w:rsidR="009C68CD" w:rsidRPr="000E0C38">
              <w:t>waste</w:t>
            </w:r>
            <w:r w:rsidR="0053299E" w:rsidRPr="000E0C38">
              <w:t xml:space="preserve"> and </w:t>
            </w:r>
            <w:r w:rsidR="009C68CD" w:rsidRPr="000E0C38">
              <w:t>telecommunications</w:t>
            </w:r>
            <w:r w:rsidR="00C072ED" w:rsidRPr="000E0C38">
              <w:t>;</w:t>
            </w:r>
          </w:p>
          <w:p w14:paraId="2E8362D3" w14:textId="0F129355" w:rsidR="00985A6F" w:rsidRPr="000E0C38" w:rsidRDefault="00985A6F" w:rsidP="00831B36">
            <w:pPr>
              <w:pStyle w:val="BodyText"/>
              <w:numPr>
                <w:ilvl w:val="0"/>
                <w:numId w:val="26"/>
              </w:numPr>
              <w:spacing w:after="0" w:line="276" w:lineRule="auto"/>
              <w:jc w:val="both"/>
            </w:pPr>
            <w:r w:rsidRPr="000E0C38">
              <w:t xml:space="preserve">Within the construction sector, there are also potentially significant economic benefits associated with construction employment reform (addressing informality, health and safety standards, female and child participation, issues around capacity and collective bargaining).  These can hinder effective sector development and impose high social welfare costs on </w:t>
            </w:r>
            <w:r w:rsidR="00EE5618">
              <w:t xml:space="preserve">governments and wider society. </w:t>
            </w:r>
            <w:r w:rsidRPr="000E0C38">
              <w:t>Addressing them can also improve the economic efficiency of the delivery model itself;</w:t>
            </w:r>
          </w:p>
          <w:p w14:paraId="0172FA5E" w14:textId="77777777" w:rsidR="00985A6F" w:rsidRPr="000E0C38" w:rsidRDefault="00985A6F" w:rsidP="00831B36">
            <w:pPr>
              <w:pStyle w:val="BodyText"/>
              <w:numPr>
                <w:ilvl w:val="0"/>
                <w:numId w:val="26"/>
              </w:numPr>
              <w:spacing w:after="0" w:line="276" w:lineRule="auto"/>
              <w:jc w:val="both"/>
            </w:pPr>
            <w:r w:rsidRPr="000E0C38">
              <w:t>When designing programmes, care should be taken to ensure that the construction sector and associated employment issues are a) significant within the country context (i.e. well evidenced); and b) significant in relation to other sectors (i.e. there is no opportunity cost associated with intervention).  Efforts should be made to understand whether the construction sector supply chain is dominated by import-based (labour or materials), as this may reduce the efficacy of sector interventions or require different types of programming;</w:t>
            </w:r>
          </w:p>
          <w:p w14:paraId="32FBA717" w14:textId="5F3466DA" w:rsidR="00985A6F" w:rsidRPr="000E0C38" w:rsidRDefault="00985A6F" w:rsidP="00831B36">
            <w:pPr>
              <w:pStyle w:val="BodyText"/>
              <w:numPr>
                <w:ilvl w:val="0"/>
                <w:numId w:val="26"/>
              </w:numPr>
              <w:spacing w:after="0" w:line="276" w:lineRule="auto"/>
              <w:jc w:val="both"/>
            </w:pPr>
            <w:r w:rsidRPr="000E0C38">
              <w:t>Costs and benefits can be identified through standard cost benefit analysis (CBA) undertaken as part of a bus</w:t>
            </w:r>
            <w:r w:rsidR="00EE5618">
              <w:t>iness case development process.</w:t>
            </w:r>
            <w:r w:rsidRPr="000E0C38">
              <w:t xml:space="preserve"> Key benefit drivers might include avoided loss of life and injury, increased productivity (e.g. from improved training or greater inclusion), and enhanced job creation in the supply chain.  However, there is very limited evidence in the literature of formal cost benefit analysis having been undertaken on construction sector employment reform programmes to date;</w:t>
            </w:r>
          </w:p>
          <w:p w14:paraId="7B45E702" w14:textId="77777777" w:rsidR="00985A6F" w:rsidRPr="000E0C38" w:rsidRDefault="00985A6F" w:rsidP="00831B36">
            <w:pPr>
              <w:pStyle w:val="BodyText"/>
              <w:numPr>
                <w:ilvl w:val="0"/>
                <w:numId w:val="26"/>
              </w:numPr>
              <w:spacing w:after="0" w:line="276" w:lineRule="auto"/>
              <w:jc w:val="both"/>
            </w:pPr>
            <w:r w:rsidRPr="000E0C38">
              <w:t>Maximising value for money in construction and associated employment interventions is highly dependent on the quality of programme design and delivery.  Interventions should be evidence-based, clearly aligned with market weaknesses, and where possible integrated into a holistic programme of sector reform.  Interventions should also be sensitive to market and political economy realities (e.g. around collective bargaining or female participation);</w:t>
            </w:r>
          </w:p>
          <w:p w14:paraId="43BC3246" w14:textId="77777777" w:rsidR="00985A6F" w:rsidRPr="000E0C38" w:rsidRDefault="00985A6F" w:rsidP="00831B36">
            <w:pPr>
              <w:pStyle w:val="BodyText"/>
              <w:numPr>
                <w:ilvl w:val="0"/>
                <w:numId w:val="26"/>
              </w:numPr>
              <w:spacing w:after="0" w:line="276" w:lineRule="auto"/>
              <w:jc w:val="both"/>
            </w:pPr>
            <w:r w:rsidRPr="000E0C38">
              <w:t>There may be resistance to change due to concerns around the social and economic costs of migrating from established sector models.  Scale up of reform is most successful when it builds upon successful demonstration models and consultation processes that help secure buy-in from public and private authorities.  Programmes are also successful when integrated as a sub-component into sector investment and reform programmes (e.g. housing, transport);</w:t>
            </w:r>
          </w:p>
          <w:p w14:paraId="25E170F0" w14:textId="437A7EFD" w:rsidR="00985A6F" w:rsidRPr="000E0C38" w:rsidRDefault="00985A6F" w:rsidP="00EE5618">
            <w:pPr>
              <w:pStyle w:val="BodyText"/>
              <w:numPr>
                <w:ilvl w:val="0"/>
                <w:numId w:val="26"/>
              </w:numPr>
              <w:spacing w:after="120" w:line="276" w:lineRule="auto"/>
              <w:ind w:left="714" w:hanging="357"/>
              <w:jc w:val="both"/>
            </w:pPr>
            <w:r w:rsidRPr="000E0C38">
              <w:lastRenderedPageBreak/>
              <w:t>Consideration should be given to emerging labour market and technology changes in the construction sector (e.g. moves towards automation, pre-fabrication), which have the potential to improve the efficiency but also potentially change or reduce the nature of labour force participation.  Labour intensity during construction may therefore reduce over time, but be displaced into su</w:t>
            </w:r>
            <w:r w:rsidR="00EE5618">
              <w:t xml:space="preserve">pply chains and manufacturing. </w:t>
            </w:r>
            <w:r w:rsidRPr="000E0C38">
              <w:t>This may determine the focus of an intervention (e.g. engaging with upstream supply chains).</w:t>
            </w:r>
          </w:p>
          <w:p w14:paraId="54B661EE" w14:textId="03A20D98" w:rsidR="00985A6F" w:rsidRPr="000E0C38" w:rsidRDefault="00985A6F" w:rsidP="00432BEF">
            <w:pPr>
              <w:pStyle w:val="BodyText"/>
              <w:spacing w:after="120"/>
            </w:pPr>
            <w:r w:rsidRPr="000E0C38">
              <w:t xml:space="preserve">Figure </w:t>
            </w:r>
            <w:r w:rsidR="00BB63CD" w:rsidRPr="000E0C38">
              <w:t>8</w:t>
            </w:r>
            <w:r w:rsidRPr="000E0C38">
              <w:t xml:space="preserve"> sets out some of the questions that should be considered during the design and delivery of construction employment programmes.</w:t>
            </w:r>
          </w:p>
          <w:p w14:paraId="55DC03B7" w14:textId="7AF03258" w:rsidR="00985A6F" w:rsidRPr="000E0C38" w:rsidRDefault="00985A6F" w:rsidP="00EE4A7F">
            <w:pPr>
              <w:pStyle w:val="Caption"/>
              <w:spacing w:before="240" w:after="0"/>
              <w:rPr>
                <w:b/>
                <w:iCs/>
                <w:sz w:val="20"/>
              </w:rPr>
            </w:pPr>
            <w:r w:rsidRPr="000E0C38">
              <w:rPr>
                <w:b/>
                <w:iCs/>
                <w:sz w:val="20"/>
              </w:rPr>
              <w:t xml:space="preserve">Figure </w:t>
            </w:r>
            <w:r w:rsidRPr="000E0C38">
              <w:rPr>
                <w:b/>
                <w:iCs/>
                <w:sz w:val="20"/>
              </w:rPr>
              <w:fldChar w:fldCharType="begin"/>
            </w:r>
            <w:r w:rsidRPr="000E0C38">
              <w:rPr>
                <w:b/>
                <w:iCs/>
                <w:sz w:val="20"/>
              </w:rPr>
              <w:instrText xml:space="preserve"> SEQ Figure \* ARABIC </w:instrText>
            </w:r>
            <w:r w:rsidRPr="000E0C38">
              <w:rPr>
                <w:b/>
                <w:iCs/>
                <w:sz w:val="20"/>
              </w:rPr>
              <w:fldChar w:fldCharType="separate"/>
            </w:r>
            <w:r w:rsidR="001A6968" w:rsidRPr="000E0C38">
              <w:rPr>
                <w:b/>
                <w:iCs/>
                <w:sz w:val="20"/>
              </w:rPr>
              <w:t>8</w:t>
            </w:r>
            <w:r w:rsidRPr="000E0C38">
              <w:rPr>
                <w:b/>
                <w:iCs/>
                <w:sz w:val="20"/>
              </w:rPr>
              <w:fldChar w:fldCharType="end"/>
            </w:r>
            <w:r w:rsidRPr="000E0C38">
              <w:rPr>
                <w:b/>
                <w:iCs/>
                <w:sz w:val="20"/>
              </w:rPr>
              <w:t>: Decision framework for engaging with construction employment reform</w:t>
            </w:r>
          </w:p>
          <w:p w14:paraId="001C4C2D" w14:textId="1D99AA81" w:rsidR="00985A6F" w:rsidRPr="000E0C38" w:rsidRDefault="00076E1B" w:rsidP="00432BEF">
            <w:r w:rsidRPr="000E0C38">
              <w:rPr>
                <w:noProof/>
              </w:rPr>
              <w:drawing>
                <wp:inline distT="0" distB="0" distL="0" distR="0" wp14:anchorId="1851CA29" wp14:editId="26AF0B1C">
                  <wp:extent cx="5717125" cy="3497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1283" cy="3500124"/>
                          </a:xfrm>
                          <a:prstGeom prst="rect">
                            <a:avLst/>
                          </a:prstGeom>
                          <a:noFill/>
                        </pic:spPr>
                      </pic:pic>
                    </a:graphicData>
                  </a:graphic>
                </wp:inline>
              </w:drawing>
            </w:r>
          </w:p>
        </w:tc>
      </w:tr>
    </w:tbl>
    <w:p w14:paraId="0266F0DC" w14:textId="03FD567B" w:rsidR="00E131A9" w:rsidRPr="000E0C38" w:rsidRDefault="00E131A9" w:rsidP="00432BEF">
      <w:pPr>
        <w:pStyle w:val="Heading2"/>
      </w:pPr>
      <w:bookmarkStart w:id="40" w:name="_Toc498019408"/>
      <w:r w:rsidRPr="000E0C38">
        <w:lastRenderedPageBreak/>
        <w:t>4.1 Approach</w:t>
      </w:r>
      <w:bookmarkEnd w:id="40"/>
    </w:p>
    <w:p w14:paraId="7C180A15" w14:textId="15746C19" w:rsidR="008E36ED" w:rsidRPr="000E0C38" w:rsidRDefault="003F368F" w:rsidP="00991DB7">
      <w:pPr>
        <w:pStyle w:val="BodyText"/>
        <w:spacing w:after="120" w:line="276" w:lineRule="auto"/>
        <w:jc w:val="both"/>
      </w:pPr>
      <w:r w:rsidRPr="000E0C38">
        <w:t xml:space="preserve">This chapter </w:t>
      </w:r>
      <w:r w:rsidR="009A0BA4" w:rsidRPr="000E0C38">
        <w:t>explores whether</w:t>
      </w:r>
      <w:r w:rsidR="008E36ED" w:rsidRPr="000E0C38">
        <w:t xml:space="preserve"> and how</w:t>
      </w:r>
      <w:r w:rsidR="009A0BA4" w:rsidRPr="000E0C38">
        <w:t xml:space="preserve"> investing in strengthening the construction industry and creating</w:t>
      </w:r>
      <w:r w:rsidR="00A4783E" w:rsidRPr="000E0C38">
        <w:t xml:space="preserve"> </w:t>
      </w:r>
      <w:r w:rsidR="009A0BA4" w:rsidRPr="000E0C38">
        <w:t>/</w:t>
      </w:r>
      <w:r w:rsidR="00A4783E" w:rsidRPr="000E0C38">
        <w:t xml:space="preserve"> </w:t>
      </w:r>
      <w:r w:rsidR="009A0BA4" w:rsidRPr="000E0C38">
        <w:t xml:space="preserve">improving the quality of jobs in the construction industry </w:t>
      </w:r>
      <w:r w:rsidR="00AB022E" w:rsidRPr="000E0C38">
        <w:t>might offer</w:t>
      </w:r>
      <w:r w:rsidR="009A0BA4" w:rsidRPr="000E0C38">
        <w:t xml:space="preserve"> good value for money (</w:t>
      </w:r>
      <w:r w:rsidR="00495CED" w:rsidRPr="000E0C38">
        <w:t>VFM</w:t>
      </w:r>
      <w:r w:rsidR="009A0BA4" w:rsidRPr="000E0C38">
        <w:t xml:space="preserve">) for UK Aid. It </w:t>
      </w:r>
      <w:r w:rsidR="00A4783E" w:rsidRPr="000E0C38">
        <w:t>synthesis</w:t>
      </w:r>
      <w:r w:rsidRPr="000E0C38">
        <w:t>es the lessons of the earlier chapters</w:t>
      </w:r>
      <w:r w:rsidR="00A4783E" w:rsidRPr="000E0C38">
        <w:t>,</w:t>
      </w:r>
      <w:r w:rsidRPr="000E0C38">
        <w:t xml:space="preserve"> and further explores the potential benefits and constraints of improving construction industry employment from a</w:t>
      </w:r>
      <w:r w:rsidR="009A0BA4" w:rsidRPr="000E0C38">
        <w:t xml:space="preserve"> socio-economic </w:t>
      </w:r>
      <w:r w:rsidR="00A4783E" w:rsidRPr="000E0C38">
        <w:t xml:space="preserve">perspective. </w:t>
      </w:r>
    </w:p>
    <w:p w14:paraId="1AC1F0AF" w14:textId="3710026F" w:rsidR="008E36ED" w:rsidRPr="000E0C38" w:rsidRDefault="008E36ED" w:rsidP="00991DB7">
      <w:pPr>
        <w:pStyle w:val="BodyText"/>
        <w:spacing w:after="120" w:line="276" w:lineRule="auto"/>
        <w:jc w:val="both"/>
      </w:pPr>
      <w:r w:rsidRPr="000E0C38">
        <w:t xml:space="preserve">Firstly, the chapter </w:t>
      </w:r>
      <w:r w:rsidR="003F368F" w:rsidRPr="000E0C38">
        <w:t xml:space="preserve">looks at the evidence for economic returns on interventions in </w:t>
      </w:r>
      <w:r w:rsidR="00066F4B" w:rsidRPr="000E0C38">
        <w:t xml:space="preserve">the </w:t>
      </w:r>
      <w:r w:rsidR="003F368F" w:rsidRPr="000E0C38">
        <w:t>construction</w:t>
      </w:r>
      <w:r w:rsidR="00066F4B" w:rsidRPr="000E0C38">
        <w:t xml:space="preserve"> sector</w:t>
      </w:r>
      <w:r w:rsidR="003F368F" w:rsidRPr="000E0C38">
        <w:t xml:space="preserve"> and associated labour markets</w:t>
      </w:r>
      <w:r w:rsidRPr="000E0C38">
        <w:t xml:space="preserve">.  This includes a review of macro-level economic and employment multipliers from the construction sector in middle and </w:t>
      </w:r>
      <w:r w:rsidR="00263A46" w:rsidRPr="000E0C38">
        <w:t>low-income</w:t>
      </w:r>
      <w:r w:rsidRPr="000E0C38">
        <w:t xml:space="preserve"> countries.</w:t>
      </w:r>
    </w:p>
    <w:p w14:paraId="745BDB37" w14:textId="0294F498" w:rsidR="00263A46" w:rsidRPr="000E0C38" w:rsidRDefault="00263A46" w:rsidP="00991DB7">
      <w:pPr>
        <w:pStyle w:val="BodyText"/>
        <w:spacing w:after="120" w:line="276" w:lineRule="auto"/>
        <w:jc w:val="both"/>
      </w:pPr>
      <w:r w:rsidRPr="000E0C38">
        <w:t xml:space="preserve">Secondly, the chapter sets out how value for money might be assessed within a business case process </w:t>
      </w:r>
      <w:r w:rsidR="00053B52" w:rsidRPr="000E0C38">
        <w:t>using cost benefit analysis</w:t>
      </w:r>
      <w:r w:rsidRPr="000E0C38">
        <w:t xml:space="preserve">, recognising that there are currently few available studies or benchmarks available in the literature for construction employment interventions. </w:t>
      </w:r>
    </w:p>
    <w:p w14:paraId="223911D0" w14:textId="1A336DB4" w:rsidR="00263A46" w:rsidRPr="000E0C38" w:rsidRDefault="00263A46" w:rsidP="00991DB7">
      <w:pPr>
        <w:pStyle w:val="BodyText"/>
        <w:spacing w:after="120" w:line="276" w:lineRule="auto"/>
        <w:jc w:val="both"/>
      </w:pPr>
      <w:r w:rsidRPr="000E0C38">
        <w:t>Thirdly, contingent factors that may potentially influence the success of interventions are explored.  These include the role of imported labour and resource models</w:t>
      </w:r>
      <w:r w:rsidR="00053B52" w:rsidRPr="000E0C38">
        <w:t xml:space="preserve"> (potentially reducing the opportunity to engage in country), and emerging trends in the supply chain (automation, pre-fabrication) which may impact upon patterns of labour intensity and productivity.</w:t>
      </w:r>
    </w:p>
    <w:p w14:paraId="35653308" w14:textId="3AE1AD37" w:rsidR="003F368F" w:rsidRPr="000E0C38" w:rsidRDefault="00263A46" w:rsidP="00991DB7">
      <w:pPr>
        <w:pStyle w:val="BodyText"/>
        <w:spacing w:after="120" w:line="276" w:lineRule="auto"/>
        <w:jc w:val="both"/>
      </w:pPr>
      <w:r w:rsidRPr="000E0C38">
        <w:t>Finally, a</w:t>
      </w:r>
      <w:r w:rsidR="003F368F" w:rsidRPr="000E0C38">
        <w:t xml:space="preserve"> </w:t>
      </w:r>
      <w:r w:rsidR="00EC6017" w:rsidRPr="000E0C38">
        <w:t xml:space="preserve">set of </w:t>
      </w:r>
      <w:r w:rsidR="003F368F" w:rsidRPr="000E0C38">
        <w:t>decision</w:t>
      </w:r>
      <w:r w:rsidR="00EC6017" w:rsidRPr="000E0C38">
        <w:t xml:space="preserve"> guidelines </w:t>
      </w:r>
      <w:r w:rsidR="003F368F" w:rsidRPr="000E0C38">
        <w:t xml:space="preserve">is set out </w:t>
      </w:r>
      <w:r w:rsidR="00A4783E" w:rsidRPr="000E0C38">
        <w:t xml:space="preserve">for </w:t>
      </w:r>
      <w:r w:rsidR="003F368F" w:rsidRPr="000E0C38">
        <w:t xml:space="preserve">helping programme design teams and donor agencies consider </w:t>
      </w:r>
      <w:r w:rsidR="00495CED" w:rsidRPr="000E0C38">
        <w:t>VFM</w:t>
      </w:r>
      <w:r w:rsidR="003F368F" w:rsidRPr="000E0C38">
        <w:t xml:space="preserve"> in their programme design</w:t>
      </w:r>
      <w:r w:rsidR="008C606C" w:rsidRPr="000E0C38">
        <w:t xml:space="preserve"> processes</w:t>
      </w:r>
      <w:r w:rsidR="003F368F" w:rsidRPr="000E0C38">
        <w:t xml:space="preserve"> and funding decisions.</w:t>
      </w:r>
    </w:p>
    <w:p w14:paraId="06639938" w14:textId="39C8C0A1" w:rsidR="003F368F" w:rsidRPr="000E0C38" w:rsidRDefault="009E557B" w:rsidP="00991DB7">
      <w:pPr>
        <w:pStyle w:val="Heading2"/>
        <w:spacing w:before="0"/>
        <w:jc w:val="both"/>
      </w:pPr>
      <w:bookmarkStart w:id="41" w:name="_Toc498019409"/>
      <w:r w:rsidRPr="000E0C38">
        <w:lastRenderedPageBreak/>
        <w:t>4.</w:t>
      </w:r>
      <w:r w:rsidR="006A62B6">
        <w:t>2</w:t>
      </w:r>
      <w:r w:rsidRPr="000E0C38">
        <w:t xml:space="preserve"> </w:t>
      </w:r>
      <w:r w:rsidR="009A0BA4" w:rsidRPr="000E0C38">
        <w:t>R</w:t>
      </w:r>
      <w:r w:rsidR="003F368F" w:rsidRPr="000E0C38">
        <w:t xml:space="preserve">eturns on investment </w:t>
      </w:r>
      <w:r w:rsidR="009A0BA4" w:rsidRPr="000E0C38">
        <w:t>from</w:t>
      </w:r>
      <w:r w:rsidR="003F368F" w:rsidRPr="000E0C38">
        <w:t xml:space="preserve"> construction sector</w:t>
      </w:r>
      <w:r w:rsidR="009A0BA4" w:rsidRPr="000E0C38">
        <w:t xml:space="preserve"> programming</w:t>
      </w:r>
      <w:bookmarkEnd w:id="41"/>
    </w:p>
    <w:p w14:paraId="3C884155" w14:textId="1DDCC419" w:rsidR="005F20BE" w:rsidRPr="00EE5618" w:rsidRDefault="003F368F" w:rsidP="00EE5618">
      <w:pPr>
        <w:pStyle w:val="BodyText"/>
        <w:spacing w:after="120" w:line="276" w:lineRule="auto"/>
        <w:jc w:val="both"/>
      </w:pPr>
      <w:r w:rsidRPr="000E0C38">
        <w:t xml:space="preserve">A review of the literature indicates that </w:t>
      </w:r>
      <w:r w:rsidR="0038223F" w:rsidRPr="000E0C38">
        <w:t xml:space="preserve">while </w:t>
      </w:r>
      <w:r w:rsidRPr="000E0C38">
        <w:t xml:space="preserve">there is relatively </w:t>
      </w:r>
      <w:r w:rsidR="0038223F" w:rsidRPr="000E0C38">
        <w:t>robust</w:t>
      </w:r>
      <w:r w:rsidRPr="000E0C38">
        <w:t xml:space="preserve"> evidence </w:t>
      </w:r>
      <w:r w:rsidR="0059062B" w:rsidRPr="000E0C38">
        <w:t xml:space="preserve">of </w:t>
      </w:r>
      <w:r w:rsidR="0038223F" w:rsidRPr="000E0C38">
        <w:t xml:space="preserve">potential programme outcomes (e.g. in terms of job creation, improved regulation) from construction </w:t>
      </w:r>
      <w:r w:rsidR="00066F4B" w:rsidRPr="000E0C38">
        <w:t>employment</w:t>
      </w:r>
      <w:r w:rsidR="0038223F" w:rsidRPr="000E0C38">
        <w:t xml:space="preserve"> interventions, there have been fewer attempts</w:t>
      </w:r>
      <w:r w:rsidR="00EC6017" w:rsidRPr="000E0C38">
        <w:t xml:space="preserve"> at a programme</w:t>
      </w:r>
      <w:r w:rsidR="003926F2" w:rsidRPr="000E0C38">
        <w:t xml:space="preserve"> level</w:t>
      </w:r>
      <w:r w:rsidR="0038223F" w:rsidRPr="000E0C38">
        <w:t xml:space="preserve"> to understand the </w:t>
      </w:r>
      <w:r w:rsidR="0059062B" w:rsidRPr="000E0C38">
        <w:t xml:space="preserve">socio-economic </w:t>
      </w:r>
      <w:r w:rsidRPr="000E0C38">
        <w:t>returns on investment (ROI) in construction sector employment programming</w:t>
      </w:r>
      <w:r w:rsidR="00053B52" w:rsidRPr="000E0C38">
        <w:t xml:space="preserve"> (e.g. through traditional cost-benefit analysis)</w:t>
      </w:r>
      <w:r w:rsidRPr="000E0C38">
        <w:t>.</w:t>
      </w:r>
      <w:r w:rsidR="00A4783E" w:rsidRPr="000E0C38">
        <w:t xml:space="preserve"> </w:t>
      </w:r>
      <w:r w:rsidRPr="000E0C38">
        <w:t xml:space="preserve">The literature does, however, identify </w:t>
      </w:r>
      <w:r w:rsidR="00053B52" w:rsidRPr="000E0C38">
        <w:t>several</w:t>
      </w:r>
      <w:r w:rsidRPr="000E0C38">
        <w:t xml:space="preserve"> potential macro and micro-level benefits associated with expanding the scale and</w:t>
      </w:r>
      <w:r w:rsidR="00A4783E" w:rsidRPr="000E0C38">
        <w:t xml:space="preserve"> </w:t>
      </w:r>
      <w:r w:rsidRPr="000E0C38">
        <w:t>/</w:t>
      </w:r>
      <w:r w:rsidR="00A4783E" w:rsidRPr="000E0C38">
        <w:t xml:space="preserve"> </w:t>
      </w:r>
      <w:r w:rsidRPr="000E0C38">
        <w:t xml:space="preserve">or </w:t>
      </w:r>
      <w:r w:rsidR="00BE2D79" w:rsidRPr="000E0C38">
        <w:t>increasing</w:t>
      </w:r>
      <w:r w:rsidRPr="000E0C38">
        <w:t xml:space="preserve"> the </w:t>
      </w:r>
      <w:r w:rsidR="00BE2D79" w:rsidRPr="000E0C38">
        <w:t>efficiency</w:t>
      </w:r>
      <w:r w:rsidRPr="000E0C38">
        <w:t xml:space="preserve"> of </w:t>
      </w:r>
      <w:r w:rsidR="00A4783E" w:rsidRPr="000E0C38">
        <w:t xml:space="preserve">the </w:t>
      </w:r>
      <w:r w:rsidRPr="000E0C38">
        <w:t>construction sector</w:t>
      </w:r>
      <w:r w:rsidR="00BE2D79" w:rsidRPr="000E0C38">
        <w:t xml:space="preserve">, of which improving labour practices is </w:t>
      </w:r>
      <w:r w:rsidR="00AB022E" w:rsidRPr="000E0C38">
        <w:t xml:space="preserve">a core </w:t>
      </w:r>
      <w:r w:rsidR="00BE2D79" w:rsidRPr="000E0C38">
        <w:t>element</w:t>
      </w:r>
      <w:r w:rsidR="00A4783E" w:rsidRPr="000E0C38">
        <w:t>.</w:t>
      </w:r>
    </w:p>
    <w:p w14:paraId="46ACC2DB" w14:textId="5C22C263" w:rsidR="006A547C" w:rsidRPr="000E0C38" w:rsidRDefault="00C255AE" w:rsidP="00991DB7">
      <w:pPr>
        <w:pStyle w:val="BodyText"/>
        <w:spacing w:after="120" w:line="276" w:lineRule="auto"/>
        <w:jc w:val="both"/>
        <w:rPr>
          <w:b/>
          <w:u w:val="single"/>
        </w:rPr>
      </w:pPr>
      <w:r w:rsidRPr="000E0C38">
        <w:rPr>
          <w:b/>
          <w:u w:val="single"/>
        </w:rPr>
        <w:t xml:space="preserve">Economic </w:t>
      </w:r>
      <w:r w:rsidR="00B93FD6" w:rsidRPr="000E0C38">
        <w:rPr>
          <w:b/>
          <w:u w:val="single"/>
        </w:rPr>
        <w:t xml:space="preserve">(output) </w:t>
      </w:r>
      <w:r w:rsidRPr="000E0C38">
        <w:rPr>
          <w:b/>
          <w:u w:val="single"/>
        </w:rPr>
        <w:t>effects</w:t>
      </w:r>
    </w:p>
    <w:p w14:paraId="6CBC3521" w14:textId="3C2E20D8" w:rsidR="00BE2D79" w:rsidRPr="000E0C38" w:rsidRDefault="00AB022E" w:rsidP="00991DB7">
      <w:pPr>
        <w:pStyle w:val="BodyText"/>
        <w:spacing w:after="120" w:line="276" w:lineRule="auto"/>
        <w:jc w:val="both"/>
      </w:pPr>
      <w:r w:rsidRPr="000E0C38">
        <w:t>T</w:t>
      </w:r>
      <w:r w:rsidR="00BE2D79" w:rsidRPr="000E0C38">
        <w:t xml:space="preserve">he construction sector </w:t>
      </w:r>
      <w:r w:rsidR="00D84BCE" w:rsidRPr="000E0C38">
        <w:t xml:space="preserve">continues to </w:t>
      </w:r>
      <w:r w:rsidR="00915D9A" w:rsidRPr="000E0C38">
        <w:t>play a key role in economic development</w:t>
      </w:r>
      <w:r w:rsidR="00BE2D79" w:rsidRPr="000E0C38">
        <w:t xml:space="preserve"> in developing countries, </w:t>
      </w:r>
      <w:r w:rsidR="00915D9A" w:rsidRPr="000E0C38">
        <w:t>driven by</w:t>
      </w:r>
      <w:r w:rsidR="00BE2D79" w:rsidRPr="000E0C38">
        <w:t xml:space="preserve"> increasing populatio</w:t>
      </w:r>
      <w:r w:rsidRPr="000E0C38">
        <w:t>n levels</w:t>
      </w:r>
      <w:r w:rsidR="00BE2D79" w:rsidRPr="000E0C38">
        <w:t xml:space="preserve">, urbanisation trends, the need for </w:t>
      </w:r>
      <w:r w:rsidR="00915D9A" w:rsidRPr="000E0C38">
        <w:t>new</w:t>
      </w:r>
      <w:r w:rsidR="00BE2D79" w:rsidRPr="000E0C38">
        <w:t xml:space="preserve"> housing and transport infrastructure, </w:t>
      </w:r>
      <w:r w:rsidRPr="000E0C38">
        <w:t>and reductions in poverty levels</w:t>
      </w:r>
      <w:r w:rsidR="00A4783E" w:rsidRPr="000E0C38">
        <w:t xml:space="preserve"> </w:t>
      </w:r>
      <w:r w:rsidRPr="000E0C38">
        <w:t>/</w:t>
      </w:r>
      <w:r w:rsidR="00A4783E" w:rsidRPr="000E0C38">
        <w:t xml:space="preserve"> </w:t>
      </w:r>
      <w:r w:rsidR="00BE2D79" w:rsidRPr="000E0C38">
        <w:t>higher levels of consumption.</w:t>
      </w:r>
      <w:r w:rsidR="00BE2D79" w:rsidRPr="000E0C38">
        <w:rPr>
          <w:rStyle w:val="FootnoteReference"/>
        </w:rPr>
        <w:footnoteReference w:id="88"/>
      </w:r>
      <w:r w:rsidR="00BE2D79" w:rsidRPr="000E0C38">
        <w:t xml:space="preserve"> </w:t>
      </w:r>
    </w:p>
    <w:p w14:paraId="029DD314" w14:textId="33310F01" w:rsidR="003D2542" w:rsidRPr="000E0C38" w:rsidRDefault="000103D3" w:rsidP="00A91D74">
      <w:pPr>
        <w:pStyle w:val="BodyText"/>
        <w:spacing w:after="120" w:line="276" w:lineRule="auto"/>
        <w:jc w:val="both"/>
      </w:pPr>
      <w:r w:rsidRPr="000E0C38">
        <w:t xml:space="preserve">In the short run, </w:t>
      </w:r>
      <w:r w:rsidR="00017DC2" w:rsidRPr="000E0C38">
        <w:t>economic benefits</w:t>
      </w:r>
      <w:r w:rsidRPr="000E0C38">
        <w:t xml:space="preserve"> </w:t>
      </w:r>
      <w:r w:rsidR="00D84BCE" w:rsidRPr="000E0C38">
        <w:t xml:space="preserve">from </w:t>
      </w:r>
      <w:r w:rsidR="002636F2" w:rsidRPr="000E0C38">
        <w:t>construction are associated with</w:t>
      </w:r>
      <w:r w:rsidRPr="000E0C38">
        <w:t xml:space="preserve"> the (Keynesian) stimulus effects that</w:t>
      </w:r>
      <w:r w:rsidR="002636F2" w:rsidRPr="000E0C38">
        <w:t xml:space="preserve"> </w:t>
      </w:r>
      <w:r w:rsidRPr="000E0C38">
        <w:t xml:space="preserve">arise from </w:t>
      </w:r>
      <w:r w:rsidR="00A91D74" w:rsidRPr="000E0C38">
        <w:t xml:space="preserve">high levels of capital investment and associated </w:t>
      </w:r>
      <w:r w:rsidR="002636F2" w:rsidRPr="000E0C38">
        <w:t xml:space="preserve">labour </w:t>
      </w:r>
      <w:r w:rsidR="00A91D74" w:rsidRPr="000E0C38">
        <w:t>inputs</w:t>
      </w:r>
      <w:r w:rsidR="00AC49C4" w:rsidRPr="000E0C38">
        <w:t xml:space="preserve">. </w:t>
      </w:r>
      <w:r w:rsidR="00A91D74" w:rsidRPr="000E0C38">
        <w:t xml:space="preserve">These direct effects are associated with the </w:t>
      </w:r>
      <w:r w:rsidR="002636F2" w:rsidRPr="000E0C38">
        <w:t xml:space="preserve">creation, renovation, repair or extension of fixed assets (buildings, land improvements, engineering assets). </w:t>
      </w:r>
    </w:p>
    <w:p w14:paraId="2CEC81F0" w14:textId="2741F690" w:rsidR="009311B2" w:rsidRPr="000E0C38" w:rsidRDefault="002636F2" w:rsidP="00834A47">
      <w:pPr>
        <w:pStyle w:val="BodyText"/>
        <w:spacing w:after="120" w:line="276" w:lineRule="auto"/>
        <w:jc w:val="both"/>
      </w:pPr>
      <w:r w:rsidRPr="000E0C38">
        <w:t>However, t</w:t>
      </w:r>
      <w:r w:rsidR="003130F5" w:rsidRPr="000E0C38">
        <w:t>he construction sector has strong forward and backward economic linkages</w:t>
      </w:r>
      <w:r w:rsidR="004E5ED1" w:rsidRPr="000E0C38">
        <w:t>.</w:t>
      </w:r>
      <w:r w:rsidR="003D2542" w:rsidRPr="000E0C38">
        <w:t xml:space="preserve"> One recent study finds that construction is among the top 4 of 20 economic sectors in terms of its inter-sectorial linkages and effects.</w:t>
      </w:r>
      <w:r w:rsidR="003D2542" w:rsidRPr="000E0C38">
        <w:rPr>
          <w:rStyle w:val="FootnoteReference"/>
        </w:rPr>
        <w:footnoteReference w:id="89"/>
      </w:r>
      <w:r w:rsidR="003D2542" w:rsidRPr="000E0C38">
        <w:t xml:space="preserve"> Another study on the sector in Turkey identifies more than 200 subsectors that have economic linkages with construction.</w:t>
      </w:r>
      <w:r w:rsidR="003D2542" w:rsidRPr="000E0C38">
        <w:rPr>
          <w:rStyle w:val="FootnoteReference"/>
        </w:rPr>
        <w:footnoteReference w:id="90"/>
      </w:r>
    </w:p>
    <w:p w14:paraId="24BDE0C3" w14:textId="2F80D77D" w:rsidR="005F20BE" w:rsidRPr="000E0C38" w:rsidRDefault="003130F5" w:rsidP="00991DB7">
      <w:pPr>
        <w:pStyle w:val="BodyText"/>
        <w:spacing w:after="120" w:line="276" w:lineRule="auto"/>
        <w:jc w:val="both"/>
      </w:pPr>
      <w:r w:rsidRPr="000E0C38">
        <w:t>In terms of backward linkages, the construction process needs inputs from other industries and production factors (labour, land and capital).</w:t>
      </w:r>
      <w:r w:rsidRPr="000E0C38">
        <w:rPr>
          <w:vertAlign w:val="superscript"/>
        </w:rPr>
        <w:footnoteReference w:id="91"/>
      </w:r>
      <w:r w:rsidRPr="000E0C38">
        <w:t xml:space="preserve"> </w:t>
      </w:r>
      <w:r w:rsidR="005F20BE" w:rsidRPr="000E0C38">
        <w:t>Supply chain benefits can include the development of industries, including cement, steel, paints and chemicals, glass, timber and machinery, alongside construction services, planning</w:t>
      </w:r>
      <w:r w:rsidRPr="000E0C38">
        <w:t xml:space="preserve">, </w:t>
      </w:r>
      <w:r w:rsidR="005F20BE" w:rsidRPr="000E0C38">
        <w:t>design</w:t>
      </w:r>
      <w:r w:rsidRPr="000E0C38">
        <w:t xml:space="preserve"> and </w:t>
      </w:r>
      <w:r w:rsidR="005F20BE" w:rsidRPr="000E0C38">
        <w:t>finance.</w:t>
      </w:r>
    </w:p>
    <w:p w14:paraId="03DFC9BD" w14:textId="2E290CE2" w:rsidR="005F20BE" w:rsidRPr="000E0C38" w:rsidRDefault="00834A47" w:rsidP="00991DB7">
      <w:pPr>
        <w:pStyle w:val="BodyText"/>
        <w:spacing w:after="120" w:line="276" w:lineRule="auto"/>
        <w:jc w:val="both"/>
      </w:pPr>
      <w:r w:rsidRPr="000E0C38">
        <w:t>In terms of forward linkages, a</w:t>
      </w:r>
      <w:r w:rsidR="003F368F" w:rsidRPr="000E0C38">
        <w:t xml:space="preserve">s economies develop from </w:t>
      </w:r>
      <w:r w:rsidR="009F1304" w:rsidRPr="000E0C38">
        <w:t>LIC</w:t>
      </w:r>
      <w:r w:rsidR="003F368F" w:rsidRPr="000E0C38">
        <w:t xml:space="preserve"> status, construction sector </w:t>
      </w:r>
      <w:proofErr w:type="spellStart"/>
      <w:r w:rsidR="003F368F" w:rsidRPr="000E0C38">
        <w:t>spillovers</w:t>
      </w:r>
      <w:proofErr w:type="spellEnd"/>
      <w:r w:rsidR="003F368F" w:rsidRPr="000E0C38">
        <w:t xml:space="preserve"> accrue to </w:t>
      </w:r>
      <w:r w:rsidR="00CA7762" w:rsidRPr="000E0C38">
        <w:t>support</w:t>
      </w:r>
      <w:r w:rsidR="003F368F" w:rsidRPr="000E0C38">
        <w:t xml:space="preserve"> productivity i</w:t>
      </w:r>
      <w:r w:rsidR="00AB022E" w:rsidRPr="000E0C38">
        <w:t>n other sectors of the economy, such as in t</w:t>
      </w:r>
      <w:r w:rsidR="009F1304" w:rsidRPr="000E0C38">
        <w:t>he services sector</w:t>
      </w:r>
      <w:r w:rsidR="00550351" w:rsidRPr="000E0C38">
        <w:t xml:space="preserve"> including </w:t>
      </w:r>
      <w:r w:rsidR="009311B2" w:rsidRPr="000E0C38">
        <w:t>retail, commercial, housing, recreation, health services</w:t>
      </w:r>
      <w:r w:rsidR="009F1304" w:rsidRPr="000E0C38">
        <w:t>.</w:t>
      </w:r>
      <w:r w:rsidR="004E5ED1" w:rsidRPr="000E0C38">
        <w:rPr>
          <w:rStyle w:val="FootnoteReference"/>
        </w:rPr>
        <w:footnoteReference w:id="92"/>
      </w:r>
      <w:r w:rsidR="00A619E9" w:rsidRPr="000E0C38">
        <w:t xml:space="preserve">  </w:t>
      </w:r>
      <w:r w:rsidR="002831B8" w:rsidRPr="000E0C38">
        <w:t>Downstream</w:t>
      </w:r>
      <w:r w:rsidRPr="000E0C38">
        <w:t xml:space="preserve"> sectors benefit from </w:t>
      </w:r>
      <w:r w:rsidR="00A619E9" w:rsidRPr="000E0C38">
        <w:t xml:space="preserve">improved access to and quality of </w:t>
      </w:r>
      <w:r w:rsidR="00550351" w:rsidRPr="000E0C38">
        <w:t xml:space="preserve">buildings, </w:t>
      </w:r>
      <w:r w:rsidR="00A619E9" w:rsidRPr="000E0C38">
        <w:t>transport, power</w:t>
      </w:r>
      <w:r w:rsidR="005F20BE" w:rsidRPr="000E0C38">
        <w:t>, telecoms, water, waste</w:t>
      </w:r>
      <w:r w:rsidR="00A619E9" w:rsidRPr="000E0C38">
        <w:t xml:space="preserve"> and other </w:t>
      </w:r>
      <w:r w:rsidR="00550351" w:rsidRPr="000E0C38">
        <w:t>services</w:t>
      </w:r>
      <w:r w:rsidRPr="000E0C38">
        <w:t xml:space="preserve">.  In addition, there are </w:t>
      </w:r>
      <w:r w:rsidR="00A619E9" w:rsidRPr="000E0C38">
        <w:t xml:space="preserve">increased </w:t>
      </w:r>
      <w:r w:rsidR="00825C0B" w:rsidRPr="000E0C38">
        <w:t xml:space="preserve">opportunities for public revenue </w:t>
      </w:r>
      <w:r w:rsidR="0086593F" w:rsidRPr="000E0C38">
        <w:t xml:space="preserve">collection and investment </w:t>
      </w:r>
      <w:r w:rsidR="00A619E9" w:rsidRPr="000E0C38">
        <w:t>(e.g. land value tax</w:t>
      </w:r>
      <w:r w:rsidR="00825C0B" w:rsidRPr="000E0C38">
        <w:t xml:space="preserve">, formalisation, </w:t>
      </w:r>
      <w:r w:rsidR="00BD0976" w:rsidRPr="000E0C38">
        <w:t>and corporate</w:t>
      </w:r>
      <w:r w:rsidR="00825C0B" w:rsidRPr="000E0C38">
        <w:t xml:space="preserve"> taxes) </w:t>
      </w:r>
      <w:r w:rsidR="00A619E9" w:rsidRPr="000E0C38">
        <w:t>as well as from the development of ancillary services (design, financ</w:t>
      </w:r>
      <w:r w:rsidR="00825C0B" w:rsidRPr="000E0C38">
        <w:t>e</w:t>
      </w:r>
      <w:r w:rsidR="0014224F" w:rsidRPr="000E0C38">
        <w:t>, infrastructure services</w:t>
      </w:r>
      <w:r w:rsidR="00825C0B" w:rsidRPr="000E0C38">
        <w:t>) which can support other sectors of the economy.</w:t>
      </w:r>
    </w:p>
    <w:p w14:paraId="0240DF34" w14:textId="0533167F" w:rsidR="002636F2" w:rsidRPr="000E0C38" w:rsidRDefault="002636F2" w:rsidP="00604561">
      <w:pPr>
        <w:pStyle w:val="BodyText"/>
        <w:spacing w:after="120" w:line="276" w:lineRule="auto"/>
        <w:jc w:val="both"/>
      </w:pPr>
      <w:r w:rsidRPr="000E0C38">
        <w:t>There is evidence of a very strong relationship between construction activity and economic growth.  Some studies in developing countries suggest that this relationship is causal (i.e. with investment in construction causing economic growth).</w:t>
      </w:r>
      <w:r w:rsidRPr="000E0C38">
        <w:rPr>
          <w:rStyle w:val="FootnoteReference"/>
        </w:rPr>
        <w:footnoteReference w:id="93"/>
      </w:r>
      <w:r w:rsidRPr="000E0C38">
        <w:t xml:space="preserve"> Others conclude that the </w:t>
      </w:r>
      <w:r w:rsidR="00A91D74" w:rsidRPr="000E0C38">
        <w:t xml:space="preserve">relationship is </w:t>
      </w:r>
      <w:r w:rsidRPr="000E0C38">
        <w:t>rather correlated (i.e. construction activity reflects wider rates of economic growth and development).</w:t>
      </w:r>
      <w:r w:rsidRPr="000E0C38">
        <w:rPr>
          <w:vertAlign w:val="superscript"/>
        </w:rPr>
        <w:footnoteReference w:id="94"/>
      </w:r>
    </w:p>
    <w:p w14:paraId="4B106C82" w14:textId="5249681D" w:rsidR="00604561" w:rsidRPr="000E0C38" w:rsidRDefault="00A91D74" w:rsidP="00604561">
      <w:pPr>
        <w:pStyle w:val="BodyText"/>
        <w:spacing w:after="120" w:line="276" w:lineRule="auto"/>
        <w:jc w:val="both"/>
      </w:pPr>
      <w:r w:rsidRPr="000E0C38">
        <w:t>There are</w:t>
      </w:r>
      <w:r w:rsidR="00604561" w:rsidRPr="000E0C38">
        <w:t xml:space="preserve"> developing country studies</w:t>
      </w:r>
      <w:r w:rsidR="00602B92" w:rsidRPr="000E0C38">
        <w:t xml:space="preserve"> that</w:t>
      </w:r>
      <w:r w:rsidR="00604561" w:rsidRPr="000E0C38">
        <w:t xml:space="preserve"> explore the relationship between the construction sector and economic growth. </w:t>
      </w:r>
      <w:r w:rsidR="002831B8" w:rsidRPr="000E0C38">
        <w:t>Several</w:t>
      </w:r>
      <w:r w:rsidR="003D2542" w:rsidRPr="000E0C38">
        <w:t xml:space="preserve"> studies </w:t>
      </w:r>
      <w:r w:rsidRPr="000E0C38">
        <w:t>(</w:t>
      </w:r>
      <w:r w:rsidR="003D2542" w:rsidRPr="000E0C38">
        <w:t xml:space="preserve">in </w:t>
      </w:r>
      <w:r w:rsidR="00604561" w:rsidRPr="000E0C38">
        <w:t>Ghana, Indonesia, Palestinian territories</w:t>
      </w:r>
      <w:r w:rsidRPr="000E0C38">
        <w:t>)</w:t>
      </w:r>
      <w:r w:rsidR="00604561" w:rsidRPr="000E0C38">
        <w:t xml:space="preserve"> conclude that construction has relatively high economic multiplier effect</w:t>
      </w:r>
      <w:r w:rsidR="003D2542" w:rsidRPr="000E0C38">
        <w:t>s</w:t>
      </w:r>
      <w:r w:rsidR="00604561" w:rsidRPr="000E0C38">
        <w:t xml:space="preserve"> compared </w:t>
      </w:r>
      <w:r w:rsidR="00602B92" w:rsidRPr="000E0C38">
        <w:t>with</w:t>
      </w:r>
      <w:r w:rsidR="00604561" w:rsidRPr="000E0C38">
        <w:t xml:space="preserve"> other sectors of the economy due to the</w:t>
      </w:r>
      <w:r w:rsidR="003D2542" w:rsidRPr="000E0C38">
        <w:t>se</w:t>
      </w:r>
      <w:r w:rsidR="00604561" w:rsidRPr="000E0C38">
        <w:t xml:space="preserve"> forward and backward linkages.</w:t>
      </w:r>
      <w:r w:rsidR="00604561" w:rsidRPr="000E0C38">
        <w:rPr>
          <w:rStyle w:val="FootnoteReference"/>
        </w:rPr>
        <w:footnoteReference w:id="95"/>
      </w:r>
    </w:p>
    <w:p w14:paraId="45523398" w14:textId="4F5E3B8C" w:rsidR="0034308E" w:rsidRPr="000E0C38" w:rsidRDefault="00604561" w:rsidP="0086593F">
      <w:pPr>
        <w:pStyle w:val="BodyText"/>
        <w:spacing w:after="120" w:line="276" w:lineRule="auto"/>
        <w:jc w:val="both"/>
      </w:pPr>
      <w:r w:rsidRPr="000E0C38">
        <w:lastRenderedPageBreak/>
        <w:t>The most comprehensive</w:t>
      </w:r>
      <w:r w:rsidR="003D2542" w:rsidRPr="000E0C38">
        <w:t xml:space="preserve"> </w:t>
      </w:r>
      <w:r w:rsidRPr="000E0C38">
        <w:t>analysis is a</w:t>
      </w:r>
      <w:r w:rsidR="009F1304" w:rsidRPr="000E0C38">
        <w:t xml:space="preserve"> 2015 ILO study</w:t>
      </w:r>
      <w:r w:rsidR="00C9781E" w:rsidRPr="000E0C38">
        <w:rPr>
          <w:rStyle w:val="FootnoteReference"/>
        </w:rPr>
        <w:footnoteReference w:id="96"/>
      </w:r>
      <w:r w:rsidR="009F1304" w:rsidRPr="000E0C38">
        <w:t xml:space="preserve"> </w:t>
      </w:r>
      <w:r w:rsidR="00602B92" w:rsidRPr="000E0C38">
        <w:t>that</w:t>
      </w:r>
      <w:r w:rsidRPr="000E0C38">
        <w:t xml:space="preserve"> </w:t>
      </w:r>
      <w:r w:rsidR="009F1304" w:rsidRPr="000E0C38">
        <w:t xml:space="preserve">reviewed the economic output potential within the </w:t>
      </w:r>
      <w:r w:rsidR="00041E15" w:rsidRPr="000E0C38">
        <w:t>c</w:t>
      </w:r>
      <w:r w:rsidR="009F1304" w:rsidRPr="000E0C38">
        <w:t xml:space="preserve">onstruction sector. It found that, on average, across direct, indirect and induced effects, investment in the construction sector </w:t>
      </w:r>
      <w:r w:rsidR="00A74573" w:rsidRPr="000E0C38">
        <w:t xml:space="preserve">was likely to result in </w:t>
      </w:r>
      <w:r w:rsidR="00897B61" w:rsidRPr="000E0C38">
        <w:t xml:space="preserve">marginally </w:t>
      </w:r>
      <w:r w:rsidR="00A74573" w:rsidRPr="000E0C38">
        <w:t xml:space="preserve">higher </w:t>
      </w:r>
      <w:r w:rsidR="009F1304" w:rsidRPr="000E0C38">
        <w:t xml:space="preserve">economic output than </w:t>
      </w:r>
      <w:r w:rsidR="00A74573" w:rsidRPr="000E0C38">
        <w:t xml:space="preserve">comparable investment </w:t>
      </w:r>
      <w:r w:rsidR="00886B87" w:rsidRPr="000E0C38">
        <w:t>across the economy as a whole</w:t>
      </w:r>
      <w:r w:rsidR="00AC49C4" w:rsidRPr="000E0C38">
        <w:t>.</w:t>
      </w:r>
      <w:r w:rsidR="005E43BE" w:rsidRPr="000E0C38">
        <w:t xml:space="preserve"> </w:t>
      </w:r>
      <w:r w:rsidR="0086593F" w:rsidRPr="000E0C38">
        <w:t>On average, between 1995</w:t>
      </w:r>
      <w:r w:rsidR="00E25D67" w:rsidRPr="000E0C38">
        <w:t xml:space="preserve"> and </w:t>
      </w:r>
      <w:r w:rsidR="0086593F" w:rsidRPr="000E0C38">
        <w:t xml:space="preserve">2009, the multiplier for construction was 13 per cent higher than that of the overall economy. </w:t>
      </w:r>
      <w:r w:rsidR="003B49BA" w:rsidRPr="000E0C38">
        <w:t xml:space="preserve">The study estimates that the economic output multiplier of the construction sector in middle income countries (MICs) was 3.45 in 2009 (i.e. for each additional million dollars spent, the construction sector would have generated an expansion of gross output 3.45 times larger), although it notes that this multiplier figure has been decreasing </w:t>
      </w:r>
      <w:r w:rsidR="0053299E" w:rsidRPr="000E0C38">
        <w:t>(</w:t>
      </w:r>
      <w:r w:rsidR="000564C9" w:rsidRPr="000E0C38">
        <w:t>marginally</w:t>
      </w:r>
      <w:r w:rsidR="0053299E" w:rsidRPr="000E0C38">
        <w:t>)</w:t>
      </w:r>
      <w:r w:rsidR="000564C9" w:rsidRPr="000E0C38">
        <w:t xml:space="preserve"> </w:t>
      </w:r>
      <w:r w:rsidR="003B49BA" w:rsidRPr="000E0C38">
        <w:t>over time.</w:t>
      </w:r>
      <w:r w:rsidR="003B49BA" w:rsidRPr="000E0C38">
        <w:rPr>
          <w:rStyle w:val="FootnoteReference"/>
        </w:rPr>
        <w:footnoteReference w:id="97"/>
      </w:r>
      <w:r w:rsidR="0086593F" w:rsidRPr="000E0C38">
        <w:t xml:space="preserve"> Of 5 LIC/LMIC countries included in the study</w:t>
      </w:r>
      <w:r w:rsidR="00886B87" w:rsidRPr="000E0C38">
        <w:t>, economy multipliers in 2009 ranged between 3.5 and 5.3 with an average multiplier of 4.4.</w:t>
      </w:r>
      <w:r w:rsidR="0086593F" w:rsidRPr="000E0C38">
        <w:rPr>
          <w:rStyle w:val="FootnoteReference"/>
        </w:rPr>
        <w:footnoteReference w:id="98"/>
      </w:r>
      <w:r w:rsidR="0086593F" w:rsidRPr="000E0C38">
        <w:t xml:space="preserve"> This suggest</w:t>
      </w:r>
      <w:r w:rsidR="00E25D67" w:rsidRPr="000E0C38">
        <w:t>s</w:t>
      </w:r>
      <w:r w:rsidR="0086593F" w:rsidRPr="000E0C38">
        <w:t xml:space="preserve"> that multipliers are overall slightly higher in lower income countries.</w:t>
      </w:r>
      <w:r w:rsidR="0014224F" w:rsidRPr="000E0C38">
        <w:t xml:space="preserve"> However, the data sets are smaller and therefore it is difficult to draw clear conclusions.</w:t>
      </w:r>
    </w:p>
    <w:p w14:paraId="32260393" w14:textId="6779A117" w:rsidR="00BE2D79" w:rsidRPr="000E0C38" w:rsidRDefault="00BE2D79" w:rsidP="00991DB7">
      <w:pPr>
        <w:pStyle w:val="BodyText"/>
        <w:spacing w:after="120" w:line="276" w:lineRule="auto"/>
        <w:jc w:val="both"/>
      </w:pPr>
      <w:r w:rsidRPr="000E0C38">
        <w:t>There are potentially several reasons why the economic multiplier tends to be higher in the construction sec</w:t>
      </w:r>
      <w:r w:rsidR="00AC49C4" w:rsidRPr="000E0C38">
        <w:t xml:space="preserve">tor compared </w:t>
      </w:r>
      <w:r w:rsidR="00E25D67" w:rsidRPr="000E0C38">
        <w:t>with</w:t>
      </w:r>
      <w:r w:rsidR="00AC49C4" w:rsidRPr="000E0C38">
        <w:t xml:space="preserve"> other sectors. </w:t>
      </w:r>
      <w:r w:rsidRPr="000E0C38">
        <w:t>These include the relatively low level of imports, the heavy reliance on an extended and varied supply chain, and the relative high level</w:t>
      </w:r>
      <w:r w:rsidR="0014224F" w:rsidRPr="000E0C38">
        <w:t>s</w:t>
      </w:r>
      <w:r w:rsidRPr="000E0C38">
        <w:t xml:space="preserve"> of labour intensity </w:t>
      </w:r>
      <w:r w:rsidR="00AC49C4" w:rsidRPr="000E0C38">
        <w:t xml:space="preserve">– </w:t>
      </w:r>
      <w:r w:rsidRPr="000E0C38">
        <w:t xml:space="preserve">which </w:t>
      </w:r>
      <w:r w:rsidR="00AC49C4" w:rsidRPr="000E0C38">
        <w:t xml:space="preserve">induces domestic consumption. </w:t>
      </w:r>
      <w:r w:rsidRPr="000E0C38">
        <w:t>The implication is that improvements to the quality and efficiency of labour within this supply chain can potentially deliver higher economic returns than similar interventions in other sectors.</w:t>
      </w:r>
      <w:r w:rsidRPr="000E0C38">
        <w:rPr>
          <w:vertAlign w:val="superscript"/>
        </w:rPr>
        <w:footnoteReference w:id="99"/>
      </w:r>
    </w:p>
    <w:p w14:paraId="7763F2C5" w14:textId="4025D782" w:rsidR="00497619" w:rsidRPr="000E0C38" w:rsidRDefault="0086593F" w:rsidP="00991DB7">
      <w:pPr>
        <w:pStyle w:val="BodyText"/>
        <w:spacing w:after="120" w:line="276" w:lineRule="auto"/>
        <w:jc w:val="both"/>
      </w:pPr>
      <w:r w:rsidRPr="000E0C38">
        <w:t>In relation to other sectors, t</w:t>
      </w:r>
      <w:r w:rsidR="00497619" w:rsidRPr="000E0C38">
        <w:t>he observed multiplier effect is, however, greater in higher and midd</w:t>
      </w:r>
      <w:r w:rsidR="00FD202D" w:rsidRPr="000E0C38">
        <w:t>le-income countries than in LICs</w:t>
      </w:r>
      <w:r w:rsidR="00497619" w:rsidRPr="000E0C38">
        <w:t>.</w:t>
      </w:r>
      <w:r w:rsidR="00497619" w:rsidRPr="000E0C38">
        <w:rPr>
          <w:rStyle w:val="FootnoteReference"/>
        </w:rPr>
        <w:footnoteReference w:id="100"/>
      </w:r>
      <w:r w:rsidR="00AC49C4" w:rsidRPr="000E0C38">
        <w:t xml:space="preserve"> </w:t>
      </w:r>
      <w:r w:rsidR="00497619" w:rsidRPr="000E0C38">
        <w:t>In LICs, the construction sector ranked between 3</w:t>
      </w:r>
      <w:r w:rsidR="00497619" w:rsidRPr="000E0C38">
        <w:rPr>
          <w:vertAlign w:val="superscript"/>
        </w:rPr>
        <w:t>rd</w:t>
      </w:r>
      <w:r w:rsidR="00497619" w:rsidRPr="000E0C38">
        <w:t xml:space="preserve"> and 9</w:t>
      </w:r>
      <w:r w:rsidR="00497619" w:rsidRPr="000E0C38">
        <w:rPr>
          <w:vertAlign w:val="superscript"/>
        </w:rPr>
        <w:t>th</w:t>
      </w:r>
      <w:r w:rsidR="00497619" w:rsidRPr="000E0C38">
        <w:t xml:space="preserve"> place out of 24 sectors reviewed.</w:t>
      </w:r>
      <w:r w:rsidR="00497619" w:rsidRPr="000E0C38">
        <w:rPr>
          <w:rStyle w:val="FootnoteReference"/>
        </w:rPr>
        <w:footnoteReference w:id="101"/>
      </w:r>
      <w:r w:rsidR="00AC49C4" w:rsidRPr="000E0C38">
        <w:t xml:space="preserve"> </w:t>
      </w:r>
      <w:r w:rsidR="00497619" w:rsidRPr="000E0C38">
        <w:t>The lower ranking in LICs is perhaps reflective of the greater reliance on imported materials and other non-labour inputs, and a less developed domest</w:t>
      </w:r>
      <w:r w:rsidR="00AC49C4" w:rsidRPr="000E0C38">
        <w:t xml:space="preserve">ic manufacturing supply chain. </w:t>
      </w:r>
      <w:r w:rsidR="00497619" w:rsidRPr="000E0C38">
        <w:t>This also feeds through into lower levels of indirect e</w:t>
      </w:r>
      <w:r w:rsidR="00AC49C4" w:rsidRPr="000E0C38">
        <w:t xml:space="preserve">mployment effects (see below). </w:t>
      </w:r>
      <w:r w:rsidR="00497619" w:rsidRPr="000E0C38">
        <w:t>This can be addressed by supporting the promotion of supply chains alongside direct engagement with the construction sector itself.</w:t>
      </w:r>
    </w:p>
    <w:p w14:paraId="3270A0D1" w14:textId="77777777" w:rsidR="005E43BE" w:rsidRPr="000E0C38" w:rsidRDefault="005E43BE" w:rsidP="005E43BE">
      <w:pPr>
        <w:pStyle w:val="BodyText"/>
        <w:spacing w:after="120" w:line="276" w:lineRule="auto"/>
        <w:jc w:val="both"/>
      </w:pPr>
      <w:r w:rsidRPr="000E0C38">
        <w:t>LICs tend to have less developed infrastructure (and therefore construction sectors) than other countries. Evidence indicates that during early stages of development, construction output tends to increase quicker than overall GDP, but that this growth then slows as countries become wealthier (typically when the share of Construction Value Added (CVA) reaches 5-6% of GDP), after which construction output tends to grow in line with overall economic development. The type of support given to construction might therefore change depending on the development pathway, with an initial focus in LICs on projects with high multipliers such as transport and multi-purpose (e.g. power and water), or regional infrastructure.</w:t>
      </w:r>
      <w:r w:rsidRPr="000E0C38">
        <w:rPr>
          <w:vertAlign w:val="superscript"/>
        </w:rPr>
        <w:footnoteReference w:id="102"/>
      </w:r>
    </w:p>
    <w:p w14:paraId="06D3F2F1" w14:textId="60AB7370" w:rsidR="00061D67" w:rsidRPr="000E0C38" w:rsidRDefault="00061D67" w:rsidP="00061D67">
      <w:pPr>
        <w:pStyle w:val="BodyText"/>
        <w:spacing w:after="120" w:line="276" w:lineRule="auto"/>
        <w:jc w:val="both"/>
      </w:pPr>
      <w:r w:rsidRPr="000E0C38">
        <w:t xml:space="preserve">Investments in the productivity and efficiency of the labour contract </w:t>
      </w:r>
      <w:r w:rsidR="00263A46" w:rsidRPr="000E0C38">
        <w:t xml:space="preserve">also </w:t>
      </w:r>
      <w:r w:rsidRPr="000E0C38">
        <w:t>have the potential to underpin the economic output of the construction sector, through the delivery of quicker construction times (and acceleration of forward benefits to end users), lower costs of infrastructure delivery (quicker / more efficient labour pool, management), higher quality of infrastructure provision (e.g. due to improved training and methods), and improved worker conditions (e.g. higher wages, better and safer conditions, lower injury rate).</w:t>
      </w:r>
    </w:p>
    <w:p w14:paraId="50655DA3" w14:textId="0C934C36" w:rsidR="00675B3E" w:rsidRPr="000E0C38" w:rsidRDefault="00827780" w:rsidP="00991DB7">
      <w:pPr>
        <w:pStyle w:val="BodyText"/>
        <w:spacing w:after="120" w:line="276" w:lineRule="auto"/>
        <w:jc w:val="both"/>
        <w:rPr>
          <w:i/>
        </w:rPr>
      </w:pPr>
      <w:r w:rsidRPr="000E0C38">
        <w:t>There is some evidence that investment in more lab</w:t>
      </w:r>
      <w:r w:rsidR="00017DC2" w:rsidRPr="000E0C38">
        <w:t>our-</w:t>
      </w:r>
      <w:r w:rsidRPr="000E0C38">
        <w:t xml:space="preserve">intensive approaches (e.g. </w:t>
      </w:r>
      <w:r w:rsidR="00A74573" w:rsidRPr="000E0C38">
        <w:t>the use of local unskilled labour in road construction</w:t>
      </w:r>
      <w:r w:rsidR="004C6A8B" w:rsidRPr="000E0C38">
        <w:t xml:space="preserve"> or public works programmes</w:t>
      </w:r>
      <w:r w:rsidRPr="000E0C38">
        <w:t xml:space="preserve">) has the potential to deliver higher economic returns within the </w:t>
      </w:r>
      <w:r w:rsidR="00897B61" w:rsidRPr="000E0C38">
        <w:t xml:space="preserve">local </w:t>
      </w:r>
      <w:r w:rsidRPr="000E0C38">
        <w:t xml:space="preserve">economy due to higher wages and increased consumption, with GDP </w:t>
      </w:r>
      <w:r w:rsidR="00BC2A2B" w:rsidRPr="000E0C38">
        <w:t xml:space="preserve">and income effects more than 2-3 times that </w:t>
      </w:r>
      <w:r w:rsidR="00AC49C4" w:rsidRPr="000E0C38">
        <w:t xml:space="preserve">of equipment based approaches. </w:t>
      </w:r>
      <w:r w:rsidR="00BC2A2B" w:rsidRPr="000E0C38">
        <w:t>This also has the potential to raise state taxes to fund improved public services.</w:t>
      </w:r>
      <w:r w:rsidR="00BC2A2B" w:rsidRPr="000E0C38">
        <w:rPr>
          <w:rStyle w:val="FootnoteReference"/>
        </w:rPr>
        <w:footnoteReference w:id="103"/>
      </w:r>
      <w:r w:rsidR="00AC49C4" w:rsidRPr="000E0C38">
        <w:t xml:space="preserve"> </w:t>
      </w:r>
      <w:r w:rsidR="008722B0" w:rsidRPr="000E0C38">
        <w:t>However, such programmes are subject to risks such as non-payment of higher wage costs and lack of funding.</w:t>
      </w:r>
    </w:p>
    <w:p w14:paraId="172CBA0B" w14:textId="046A542E" w:rsidR="00061D67" w:rsidRPr="000E0C38" w:rsidRDefault="003F122D" w:rsidP="00991DB7">
      <w:pPr>
        <w:pStyle w:val="BodyText"/>
        <w:spacing w:after="120" w:line="276" w:lineRule="auto"/>
        <w:jc w:val="both"/>
      </w:pPr>
      <w:r w:rsidRPr="000E0C38">
        <w:t xml:space="preserve">Construction sector </w:t>
      </w:r>
      <w:r w:rsidR="00AC49C4" w:rsidRPr="000E0C38">
        <w:t>interventions</w:t>
      </w:r>
      <w:r w:rsidR="00EB6BE3" w:rsidRPr="000E0C38">
        <w:t xml:space="preserve"> also have the potential to </w:t>
      </w:r>
      <w:r w:rsidRPr="000E0C38">
        <w:t xml:space="preserve">directly </w:t>
      </w:r>
      <w:r w:rsidR="00EB6BE3" w:rsidRPr="000E0C38">
        <w:t>address social welfare and pro-poor economic development</w:t>
      </w:r>
      <w:r w:rsidR="007A4C96" w:rsidRPr="000E0C38">
        <w:t>, which can in turn support a range of better outcomes (e.g. education, health, stability)</w:t>
      </w:r>
      <w:r w:rsidR="00AC49C4" w:rsidRPr="000E0C38">
        <w:t xml:space="preserve">. </w:t>
      </w:r>
      <w:r w:rsidR="00EB6BE3" w:rsidRPr="000E0C38">
        <w:t xml:space="preserve">For example, an ILO study </w:t>
      </w:r>
      <w:r w:rsidRPr="000E0C38">
        <w:t xml:space="preserve">on Employment Intensive Investment Programmes (EIIPs) </w:t>
      </w:r>
      <w:r w:rsidR="00EB6BE3" w:rsidRPr="000E0C38">
        <w:t xml:space="preserve">reviewed the </w:t>
      </w:r>
      <w:r w:rsidR="00EB6BE3" w:rsidRPr="000E0C38">
        <w:lastRenderedPageBreak/>
        <w:t xml:space="preserve">opportunity for integrating women into public works labour programmes and found that pro-active engagement on gender mainstreaming had a number of </w:t>
      </w:r>
      <w:r w:rsidRPr="000E0C38">
        <w:t xml:space="preserve">positive </w:t>
      </w:r>
      <w:r w:rsidR="00EB6BE3" w:rsidRPr="000E0C38">
        <w:t>economic consequences, including entrepreneurship development</w:t>
      </w:r>
      <w:r w:rsidRPr="000E0C38">
        <w:t xml:space="preserve">, the </w:t>
      </w:r>
      <w:r w:rsidR="00EB6BE3" w:rsidRPr="000E0C38">
        <w:t>provision of start</w:t>
      </w:r>
      <w:r w:rsidRPr="000E0C38">
        <w:t>-</w:t>
      </w:r>
      <w:r w:rsidR="00EB6BE3" w:rsidRPr="000E0C38">
        <w:t>up capital</w:t>
      </w:r>
      <w:r w:rsidRPr="000E0C38">
        <w:t xml:space="preserve"> for micro-businesses</w:t>
      </w:r>
      <w:r w:rsidR="00EB6BE3" w:rsidRPr="000E0C38">
        <w:t xml:space="preserve">, income enhancement and diversification, </w:t>
      </w:r>
      <w:r w:rsidRPr="000E0C38">
        <w:t xml:space="preserve">and </w:t>
      </w:r>
      <w:r w:rsidR="00EB6BE3" w:rsidRPr="000E0C38">
        <w:t>improved household edu</w:t>
      </w:r>
      <w:r w:rsidRPr="000E0C38">
        <w:t>cation and healthcare outcomes.</w:t>
      </w:r>
      <w:r w:rsidRPr="000E0C38">
        <w:rPr>
          <w:rStyle w:val="FootnoteReference"/>
        </w:rPr>
        <w:footnoteReference w:id="104"/>
      </w:r>
      <w:r w:rsidR="00AC49C4" w:rsidRPr="000E0C38">
        <w:t xml:space="preserve"> </w:t>
      </w:r>
      <w:r w:rsidR="009809C2" w:rsidRPr="000E0C38">
        <w:t>The e</w:t>
      </w:r>
      <w:r w:rsidR="008722B0" w:rsidRPr="000E0C38">
        <w:t>vidence suggests that pro-active engagement with inclusion is essential to counteract traditional gender an</w:t>
      </w:r>
      <w:r w:rsidR="00AC49C4" w:rsidRPr="000E0C38">
        <w:t xml:space="preserve">d social models of employment. </w:t>
      </w:r>
    </w:p>
    <w:p w14:paraId="5BC6099C" w14:textId="1A78F6E4" w:rsidR="00EB6BE3" w:rsidRPr="000E0C38" w:rsidRDefault="00017DC2" w:rsidP="00991DB7">
      <w:pPr>
        <w:pStyle w:val="BodyText"/>
        <w:spacing w:after="120" w:line="276" w:lineRule="auto"/>
        <w:jc w:val="both"/>
      </w:pPr>
      <w:r w:rsidRPr="000E0C38">
        <w:t xml:space="preserve">Another study on the potential returns on </w:t>
      </w:r>
      <w:r w:rsidR="006B6F5E" w:rsidRPr="000E0C38">
        <w:t xml:space="preserve">labour intensive </w:t>
      </w:r>
      <w:r w:rsidRPr="000E0C38">
        <w:t xml:space="preserve">large scale public works programmes in South Africa found that </w:t>
      </w:r>
      <w:r w:rsidR="006B6F5E" w:rsidRPr="000E0C38">
        <w:t xml:space="preserve">the distributional effects of </w:t>
      </w:r>
      <w:r w:rsidRPr="000E0C38">
        <w:t xml:space="preserve">economic </w:t>
      </w:r>
      <w:r w:rsidR="006B6F5E" w:rsidRPr="000E0C38">
        <w:t xml:space="preserve">stimulus </w:t>
      </w:r>
      <w:r w:rsidRPr="000E0C38">
        <w:t>would be strongly weighted towards poor households (9.2% increase in incomes) compared to non-poor households (1.3% increase).</w:t>
      </w:r>
      <w:r w:rsidRPr="000E0C38">
        <w:rPr>
          <w:rStyle w:val="FootnoteReference"/>
        </w:rPr>
        <w:footnoteReference w:id="105"/>
      </w:r>
      <w:r w:rsidR="00AC49C4" w:rsidRPr="000E0C38">
        <w:t xml:space="preserve"> </w:t>
      </w:r>
      <w:r w:rsidR="00675B3E" w:rsidRPr="000E0C38">
        <w:t xml:space="preserve">The ILO managed Roads for Development (R4D) program in Timor </w:t>
      </w:r>
      <w:proofErr w:type="spellStart"/>
      <w:r w:rsidR="00675B3E" w:rsidRPr="000E0C38">
        <w:t>Leste</w:t>
      </w:r>
      <w:proofErr w:type="spellEnd"/>
      <w:r w:rsidR="00675B3E" w:rsidRPr="000E0C38">
        <w:t xml:space="preserve"> found that wages paid to local workforce represented between 15</w:t>
      </w:r>
      <w:r w:rsidR="00AC49C4" w:rsidRPr="000E0C38">
        <w:t xml:space="preserve"> and </w:t>
      </w:r>
      <w:r w:rsidR="00675B3E" w:rsidRPr="000E0C38">
        <w:t>25% of the total project cost and that these funds were well distributed among different socio-economic groups and primarily reinvested in local economic activity.</w:t>
      </w:r>
      <w:r w:rsidR="00675B3E" w:rsidRPr="000E0C38">
        <w:rPr>
          <w:vertAlign w:val="superscript"/>
        </w:rPr>
        <w:footnoteReference w:id="106"/>
      </w:r>
    </w:p>
    <w:p w14:paraId="2DA451F6" w14:textId="57DA1B0A" w:rsidR="005E43BE" w:rsidRPr="000E0C38" w:rsidRDefault="005E43BE" w:rsidP="00991DB7">
      <w:pPr>
        <w:pStyle w:val="BodyText"/>
        <w:spacing w:after="120" w:line="276" w:lineRule="auto"/>
        <w:jc w:val="both"/>
      </w:pPr>
      <w:r w:rsidRPr="000E0C38">
        <w:t xml:space="preserve">However, there </w:t>
      </w:r>
      <w:r w:rsidR="00AD3B3D" w:rsidRPr="000E0C38">
        <w:t>may be</w:t>
      </w:r>
      <w:r w:rsidRPr="000E0C38">
        <w:t xml:space="preserve"> potential trade-offs between using construction </w:t>
      </w:r>
      <w:r w:rsidR="00AD3B3D" w:rsidRPr="000E0C38">
        <w:t>sector programmes</w:t>
      </w:r>
      <w:r w:rsidRPr="000E0C38">
        <w:t xml:space="preserve"> as a social policy tool (i.e. to maximise benefits to local livelihoods or capture value in local economies) and the overall economy efficiency of construction (e.g. in terms of cost and quality</w:t>
      </w:r>
      <w:r w:rsidR="00AD3B3D" w:rsidRPr="000E0C38">
        <w:t xml:space="preserve"> of output</w:t>
      </w:r>
      <w:r w:rsidRPr="000E0C38">
        <w:t>).   Whilst labour</w:t>
      </w:r>
      <w:r w:rsidR="00AD3B3D" w:rsidRPr="000E0C38">
        <w:t>-</w:t>
      </w:r>
      <w:r w:rsidRPr="000E0C38">
        <w:t xml:space="preserve">intensive programmes may be more effective at delivering social and economic benefits in the local context, they may not be </w:t>
      </w:r>
      <w:r w:rsidR="00AD3B3D" w:rsidRPr="000E0C38">
        <w:t xml:space="preserve">as </w:t>
      </w:r>
      <w:r w:rsidRPr="000E0C38">
        <w:t>economically efficient from a service delivery perspective</w:t>
      </w:r>
      <w:r w:rsidR="008B5B15" w:rsidRPr="000E0C38">
        <w:t xml:space="preserve"> and may limit opportunities for market and supply chain development</w:t>
      </w:r>
      <w:r w:rsidRPr="000E0C38">
        <w:t>.</w:t>
      </w:r>
      <w:r w:rsidR="00AD3B3D" w:rsidRPr="000E0C38">
        <w:t xml:space="preserve">  Programmes therefore need to be clear about to what extent equity and social development is a primary consideration</w:t>
      </w:r>
      <w:r w:rsidR="008B5B15" w:rsidRPr="000E0C38">
        <w:t>, and whether such approaches are likely to maximise the growth benefits for the wider economy.</w:t>
      </w:r>
    </w:p>
    <w:p w14:paraId="576B85E1" w14:textId="77777777" w:rsidR="00C255AE" w:rsidRPr="000E0C38" w:rsidRDefault="00C255AE" w:rsidP="00991DB7">
      <w:pPr>
        <w:pStyle w:val="BodyText"/>
        <w:spacing w:after="120" w:line="276" w:lineRule="auto"/>
        <w:jc w:val="both"/>
        <w:rPr>
          <w:b/>
          <w:u w:val="single"/>
        </w:rPr>
      </w:pPr>
      <w:r w:rsidRPr="000E0C38">
        <w:rPr>
          <w:b/>
          <w:u w:val="single"/>
        </w:rPr>
        <w:t>Employment effects</w:t>
      </w:r>
    </w:p>
    <w:p w14:paraId="52FBEB45" w14:textId="77777777" w:rsidR="009011DE" w:rsidRPr="000E0C38" w:rsidRDefault="009F1304" w:rsidP="00991DB7">
      <w:pPr>
        <w:pStyle w:val="BodyText"/>
        <w:spacing w:after="120" w:line="276" w:lineRule="auto"/>
        <w:jc w:val="both"/>
      </w:pPr>
      <w:r w:rsidRPr="000E0C38">
        <w:t>The construction industry provides a very important contribution to the national</w:t>
      </w:r>
      <w:r w:rsidR="00AC49C4" w:rsidRPr="000E0C38">
        <w:t xml:space="preserve"> </w:t>
      </w:r>
      <w:r w:rsidRPr="000E0C38">
        <w:t>/</w:t>
      </w:r>
      <w:r w:rsidR="00AC49C4" w:rsidRPr="000E0C38">
        <w:t xml:space="preserve"> </w:t>
      </w:r>
      <w:r w:rsidRPr="000E0C38">
        <w:t>local economy through its job generating ability for unskilled, semi-skilled</w:t>
      </w:r>
      <w:r w:rsidR="00AC49C4" w:rsidRPr="000E0C38">
        <w:t>,</w:t>
      </w:r>
      <w:r w:rsidRPr="000E0C38">
        <w:t xml:space="preserve"> and skilled labour. </w:t>
      </w:r>
      <w:r w:rsidR="009011DE" w:rsidRPr="000E0C38">
        <w:t xml:space="preserve">However, it is also clear that structural barriers in construction </w:t>
      </w:r>
      <w:r w:rsidR="007B7276" w:rsidRPr="000E0C38">
        <w:t>employment markets</w:t>
      </w:r>
      <w:r w:rsidR="009011DE" w:rsidRPr="000E0C38">
        <w:t xml:space="preserve"> may contribut</w:t>
      </w:r>
      <w:r w:rsidR="00FD017E" w:rsidRPr="000E0C38">
        <w:t>e</w:t>
      </w:r>
      <w:r w:rsidR="009011DE" w:rsidRPr="000E0C38">
        <w:t xml:space="preserve"> to the sector not fully maximising its economic and employment</w:t>
      </w:r>
      <w:r w:rsidR="00AC49C4" w:rsidRPr="000E0C38">
        <w:t xml:space="preserve"> potential. </w:t>
      </w:r>
      <w:r w:rsidR="009011DE" w:rsidRPr="000E0C38">
        <w:t>These include skills shortages within the domestic labour market, barriers to female participation</w:t>
      </w:r>
      <w:r w:rsidR="00AC49C4" w:rsidRPr="000E0C38">
        <w:t>,</w:t>
      </w:r>
      <w:r w:rsidR="009011DE" w:rsidRPr="000E0C38">
        <w:t xml:space="preserve"> and negative perceptions among the young in relation to careers within the industry.</w:t>
      </w:r>
      <w:r w:rsidR="009011DE" w:rsidRPr="000E0C38">
        <w:rPr>
          <w:rStyle w:val="FootnoteReference"/>
        </w:rPr>
        <w:footnoteReference w:id="107"/>
      </w:r>
    </w:p>
    <w:p w14:paraId="601B9671" w14:textId="4DB77974" w:rsidR="00D03842" w:rsidRPr="000E0C38" w:rsidRDefault="009F1304" w:rsidP="00991DB7">
      <w:pPr>
        <w:pStyle w:val="BodyText"/>
        <w:spacing w:after="120" w:line="276" w:lineRule="auto"/>
        <w:jc w:val="both"/>
      </w:pPr>
      <w:r w:rsidRPr="000E0C38">
        <w:t>The job creation potential of investment in the construction sector is higher in lower income countries</w:t>
      </w:r>
      <w:r w:rsidR="009011DE" w:rsidRPr="000E0C38">
        <w:t xml:space="preserve"> than in others</w:t>
      </w:r>
      <w:r w:rsidR="0014224F" w:rsidRPr="000E0C38">
        <w:t>, reflecting the lower levels of automation and lower labour costs</w:t>
      </w:r>
      <w:r w:rsidR="00AC49C4" w:rsidRPr="000E0C38">
        <w:t xml:space="preserve">. </w:t>
      </w:r>
      <w:r w:rsidRPr="000E0C38">
        <w:t xml:space="preserve">For example, </w:t>
      </w:r>
      <w:r w:rsidR="00D715EF" w:rsidRPr="000E0C38">
        <w:t xml:space="preserve">the ILO estimates that </w:t>
      </w:r>
      <w:r w:rsidRPr="000E0C38">
        <w:t>a million dollars of investment in the construction sector in Higher Income Countries (HICs) would result in the equivalent of 24 jobs</w:t>
      </w:r>
      <w:r w:rsidR="00D715EF" w:rsidRPr="000E0C38">
        <w:t xml:space="preserve"> (direct, indirect and induced)</w:t>
      </w:r>
      <w:r w:rsidRPr="000E0C38">
        <w:t xml:space="preserve">, compared </w:t>
      </w:r>
      <w:r w:rsidR="00D715EF" w:rsidRPr="000E0C38">
        <w:t xml:space="preserve">to 158 jobs in </w:t>
      </w:r>
      <w:r w:rsidR="00A43DB5" w:rsidRPr="000E0C38">
        <w:t>MICs.</w:t>
      </w:r>
      <w:r w:rsidR="00D03842" w:rsidRPr="000E0C38">
        <w:t xml:space="preserve">  </w:t>
      </w:r>
      <w:r w:rsidR="00132D80" w:rsidRPr="000E0C38">
        <w:t xml:space="preserve">Employment multipliers for LICs/LMICs are still much higher.  A small sample of 5 countries indicated an average of </w:t>
      </w:r>
      <w:r w:rsidR="00D03842" w:rsidRPr="000E0C38">
        <w:t>635 jobs per million USD of investment, with individual countries ranging from 45-2</w:t>
      </w:r>
      <w:r w:rsidR="006A62B6">
        <w:t>,</w:t>
      </w:r>
      <w:r w:rsidR="00D03842" w:rsidRPr="000E0C38">
        <w:t>322 jobs created</w:t>
      </w:r>
      <w:r w:rsidR="00716DC4" w:rsidRPr="000E0C38">
        <w:rPr>
          <w:rStyle w:val="FootnoteReference"/>
        </w:rPr>
        <w:footnoteReference w:id="108"/>
      </w:r>
      <w:r w:rsidR="00D03842" w:rsidRPr="000E0C38">
        <w:t>.</w:t>
      </w:r>
    </w:p>
    <w:p w14:paraId="257D8A70" w14:textId="53D7CCDB" w:rsidR="009F1304" w:rsidRPr="000E0C38" w:rsidRDefault="00D03842" w:rsidP="00991DB7">
      <w:pPr>
        <w:pStyle w:val="BodyText"/>
        <w:spacing w:after="120" w:line="276" w:lineRule="auto"/>
        <w:jc w:val="both"/>
      </w:pPr>
      <w:r w:rsidRPr="000E0C38">
        <w:t>However, the employment potential of the construction sector has been declining rapidly over recent years, suggesting trends towards lower levels of labour intensity and the increasing cost of supporting job creation efforts.</w:t>
      </w:r>
      <w:r w:rsidRPr="000E0C38">
        <w:rPr>
          <w:rStyle w:val="FootnoteReference"/>
        </w:rPr>
        <w:footnoteReference w:id="109"/>
      </w:r>
      <w:r w:rsidRPr="000E0C38">
        <w:t xml:space="preserve">  For example, employment multipliers for middle income countries were estimated at 542 jobs per million dollars in 1995, indicating a reduction of almost 70% over the period to 2009 in the labour creation potential of the sector.  These trends are set to continue with an increase shift towards automation and pre-fabrication. </w:t>
      </w:r>
      <w:r w:rsidR="006E3CD9" w:rsidRPr="000E0C38">
        <w:t xml:space="preserve">It </w:t>
      </w:r>
      <w:r w:rsidRPr="000E0C38">
        <w:t>should</w:t>
      </w:r>
      <w:r w:rsidR="006E3CD9" w:rsidRPr="000E0C38">
        <w:t xml:space="preserve"> be expected that these downward trends </w:t>
      </w:r>
      <w:r w:rsidRPr="000E0C38">
        <w:t xml:space="preserve">will </w:t>
      </w:r>
      <w:r w:rsidR="006E3CD9" w:rsidRPr="000E0C38">
        <w:t>be mirrored in LICs and LMICs graduate towards higher income status.  This creates challenges for the use of construction programmes to deliver job creation in a sustainable way over time.</w:t>
      </w:r>
    </w:p>
    <w:p w14:paraId="5C34B264" w14:textId="71ED3893" w:rsidR="00CC032E" w:rsidRPr="000E0C38" w:rsidRDefault="00CC032E" w:rsidP="00991DB7">
      <w:pPr>
        <w:pStyle w:val="BodyText"/>
        <w:spacing w:after="120" w:line="276" w:lineRule="auto"/>
        <w:jc w:val="both"/>
      </w:pPr>
      <w:r w:rsidRPr="000E0C38">
        <w:t xml:space="preserve">Multipliers can be expected to be </w:t>
      </w:r>
      <w:r w:rsidR="00716DC4" w:rsidRPr="000E0C38">
        <w:t xml:space="preserve">higher </w:t>
      </w:r>
      <w:r w:rsidRPr="000E0C38">
        <w:t>in more labour-intensive projects which tend to be implemented by more unskilled labour in low income areas, with a greater level of consumption within the domestic economy, higher backward linkages (e.g. lower export linkages) and higher levels of indirect induced job creation.</w:t>
      </w:r>
      <w:r w:rsidRPr="000E0C38">
        <w:rPr>
          <w:rStyle w:val="FootnoteReference"/>
        </w:rPr>
        <w:footnoteReference w:id="110"/>
      </w:r>
      <w:r w:rsidR="00827780" w:rsidRPr="000E0C38">
        <w:t xml:space="preserve"> </w:t>
      </w:r>
      <w:r w:rsidR="00827780" w:rsidRPr="000E0C38">
        <w:lastRenderedPageBreak/>
        <w:t>Employment effects can vary significantly</w:t>
      </w:r>
      <w:r w:rsidR="006B6F5E" w:rsidRPr="000E0C38">
        <w:t xml:space="preserve"> depending on the level of mechanisation</w:t>
      </w:r>
      <w:r w:rsidR="00A43DB5" w:rsidRPr="000E0C38">
        <w:t>.</w:t>
      </w:r>
      <w:r w:rsidR="00827780" w:rsidRPr="000E0C38">
        <w:t xml:space="preserve"> For example, one study assessed the average unskilled labour content of equipment based road works as 1% of total costs, compared to 37% for labour-based works (5000 unskilled workdays per km vs 200 workdays on equipment based operations).</w:t>
      </w:r>
      <w:r w:rsidR="002164D6" w:rsidRPr="000E0C38">
        <w:rPr>
          <w:rStyle w:val="FootnoteReference"/>
        </w:rPr>
        <w:footnoteReference w:id="111"/>
      </w:r>
    </w:p>
    <w:p w14:paraId="6CACA002" w14:textId="66022360" w:rsidR="00CA7762" w:rsidRPr="000E0C38" w:rsidRDefault="00D715EF" w:rsidP="00991DB7">
      <w:pPr>
        <w:pStyle w:val="BodyText"/>
        <w:spacing w:after="120" w:line="276" w:lineRule="auto"/>
        <w:jc w:val="both"/>
      </w:pPr>
      <w:r w:rsidRPr="000E0C38">
        <w:t xml:space="preserve">However, the ILO also finds that </w:t>
      </w:r>
      <w:r w:rsidR="009F1304" w:rsidRPr="000E0C38">
        <w:t xml:space="preserve">the employment </w:t>
      </w:r>
      <w:r w:rsidRPr="000E0C38">
        <w:t xml:space="preserve">output </w:t>
      </w:r>
      <w:r w:rsidR="009F1304" w:rsidRPr="000E0C38">
        <w:t>effects</w:t>
      </w:r>
      <w:r w:rsidRPr="000E0C38">
        <w:t xml:space="preserve"> </w:t>
      </w:r>
      <w:r w:rsidR="006B6F5E" w:rsidRPr="000E0C38">
        <w:t xml:space="preserve">of investment in </w:t>
      </w:r>
      <w:r w:rsidR="008B5B15" w:rsidRPr="000E0C38">
        <w:t xml:space="preserve">the </w:t>
      </w:r>
      <w:r w:rsidR="006B6F5E" w:rsidRPr="000E0C38">
        <w:t>construction</w:t>
      </w:r>
      <w:r w:rsidR="008B5B15" w:rsidRPr="000E0C38">
        <w:t xml:space="preserve"> sector</w:t>
      </w:r>
      <w:r w:rsidR="006B6F5E" w:rsidRPr="000E0C38">
        <w:t xml:space="preserve"> </w:t>
      </w:r>
      <w:r w:rsidRPr="000E0C38">
        <w:t>in LICs are</w:t>
      </w:r>
      <w:r w:rsidR="009F1304" w:rsidRPr="000E0C38">
        <w:t xml:space="preserve"> lower </w:t>
      </w:r>
      <w:r w:rsidR="008B5B15" w:rsidRPr="000E0C38">
        <w:t xml:space="preserve">relative </w:t>
      </w:r>
      <w:r w:rsidRPr="000E0C38">
        <w:t xml:space="preserve">to </w:t>
      </w:r>
      <w:r w:rsidR="00CA7762" w:rsidRPr="000E0C38">
        <w:t>economic output effects</w:t>
      </w:r>
      <w:r w:rsidR="009F1304" w:rsidRPr="000E0C38">
        <w:t>.</w:t>
      </w:r>
      <w:r w:rsidR="000B434E" w:rsidRPr="000E0C38">
        <w:t xml:space="preserve"> </w:t>
      </w:r>
      <w:r w:rsidR="00CA7762" w:rsidRPr="000E0C38">
        <w:t>The ILO estimates that construction ranks in the second quarter of sectors for employment creation behind more labour-intensive industries, including food and beverage, textile, wood, education and health, hotels and restaurants.</w:t>
      </w:r>
      <w:r w:rsidR="009011DE" w:rsidRPr="000E0C38">
        <w:rPr>
          <w:rStyle w:val="FootnoteReference"/>
        </w:rPr>
        <w:footnoteReference w:id="112"/>
      </w:r>
    </w:p>
    <w:p w14:paraId="35836C55" w14:textId="7B13FD27" w:rsidR="009F1304" w:rsidRPr="000E0C38" w:rsidRDefault="006B6F5E" w:rsidP="00991DB7">
      <w:pPr>
        <w:pStyle w:val="BodyText"/>
        <w:spacing w:after="120" w:line="276" w:lineRule="auto"/>
        <w:jc w:val="both"/>
      </w:pPr>
      <w:r w:rsidRPr="000E0C38">
        <w:t xml:space="preserve">The reasons why </w:t>
      </w:r>
      <w:r w:rsidR="008B5B15" w:rsidRPr="000E0C38">
        <w:t xml:space="preserve">LIC </w:t>
      </w:r>
      <w:r w:rsidRPr="000E0C38">
        <w:t xml:space="preserve">employment multiplier effects of investment in construction are lower are not entirely clear, but this </w:t>
      </w:r>
      <w:r w:rsidR="00675B3E" w:rsidRPr="000E0C38">
        <w:t>may be</w:t>
      </w:r>
      <w:r w:rsidRPr="000E0C38">
        <w:t xml:space="preserve"> related to the lower level of development and capacity within the sector in LICs (particularly within supply chains</w:t>
      </w:r>
      <w:r w:rsidR="003D4764" w:rsidRPr="000E0C38">
        <w:t xml:space="preserve"> where imported resource models prevent supply chain expansion alongside an increase in construction activity</w:t>
      </w:r>
      <w:r w:rsidRPr="000E0C38">
        <w:t>).  Nonetheless, employment multiplier effects do seem to be correlated with the level of economic development</w:t>
      </w:r>
      <w:r w:rsidR="000B434E" w:rsidRPr="000E0C38">
        <w:t>,</w:t>
      </w:r>
      <w:r w:rsidR="00675B3E" w:rsidRPr="000E0C38">
        <w:t xml:space="preserve"> and there may be a need to invest in construction sector infrastructure and labour productivity.</w:t>
      </w:r>
    </w:p>
    <w:p w14:paraId="0DDFB93F" w14:textId="77777777" w:rsidR="009F1304" w:rsidRPr="000E0C38" w:rsidRDefault="009F1304" w:rsidP="00991DB7">
      <w:pPr>
        <w:pStyle w:val="BodyText"/>
        <w:spacing w:after="120" w:line="276" w:lineRule="auto"/>
        <w:jc w:val="both"/>
      </w:pPr>
      <w:r w:rsidRPr="000E0C38">
        <w:t>The ILO conclude</w:t>
      </w:r>
      <w:r w:rsidR="000B434E" w:rsidRPr="000E0C38">
        <w:t>s</w:t>
      </w:r>
      <w:r w:rsidRPr="000E0C38">
        <w:t xml:space="preserve"> that the economic and employment effects vary by sub-sector. Capital intensive investments (e.g. highways, airports, buildings) may have higher economic output effects, whereas investment in irrigation, district or tertiary roads are </w:t>
      </w:r>
      <w:r w:rsidR="003D4764" w:rsidRPr="000E0C38">
        <w:t xml:space="preserve">more </w:t>
      </w:r>
      <w:r w:rsidR="000B434E" w:rsidRPr="000E0C38">
        <w:t xml:space="preserve">labour intensive. </w:t>
      </w:r>
      <w:r w:rsidRPr="000E0C38">
        <w:t>They conclude that there is a need to balance support for these sectors in LICs, and that opportunities exist to increase the labour and local resource content of the later where local poverty reduction and job creation are signi</w:t>
      </w:r>
      <w:r w:rsidR="000B434E" w:rsidRPr="000E0C38">
        <w:t xml:space="preserve">ficant development objectives. </w:t>
      </w:r>
      <w:r w:rsidRPr="000E0C38">
        <w:t>LICs also tend to have a more favourable cost relationship between labour and capital which can support labour intensive methods.</w:t>
      </w:r>
    </w:p>
    <w:p w14:paraId="5AD25A7C" w14:textId="77777777" w:rsidR="00192733" w:rsidRPr="000E0C38" w:rsidRDefault="00192733" w:rsidP="00991DB7">
      <w:pPr>
        <w:pStyle w:val="BodyText"/>
        <w:spacing w:after="120" w:line="276" w:lineRule="auto"/>
        <w:jc w:val="both"/>
      </w:pPr>
      <w:r w:rsidRPr="000E0C38">
        <w:t>The shift towards green growth and sustainable development also has the potential to support expansion of construction and associated supply chain jobs.  The number of green jobs is expanding rapidly in developing countries as economies transition to more sustainable models. For example, the South African government has evaluated the potential to create net direct green jobs at 460,000 by 2025.</w:t>
      </w:r>
      <w:r w:rsidRPr="000E0C38">
        <w:rPr>
          <w:vertAlign w:val="superscript"/>
        </w:rPr>
        <w:footnoteReference w:id="113"/>
      </w:r>
      <w:r w:rsidR="000B434E" w:rsidRPr="000E0C38">
        <w:t xml:space="preserve"> </w:t>
      </w:r>
      <w:r w:rsidRPr="000E0C38">
        <w:t>Evidence indicates that growth in green jobs in developing countries is higher (6.1%) than for overall formal employment on average (5.8%).</w:t>
      </w:r>
    </w:p>
    <w:p w14:paraId="64799440" w14:textId="48E3B4DB" w:rsidR="00A9380E" w:rsidRPr="000E0C38" w:rsidRDefault="00192733" w:rsidP="00432BEF">
      <w:pPr>
        <w:pStyle w:val="BodyText"/>
        <w:spacing w:after="120" w:line="276" w:lineRule="auto"/>
        <w:jc w:val="both"/>
      </w:pPr>
      <w:r w:rsidRPr="000E0C38">
        <w:t>However, it is also clear that a shift to cleaner and more efficient practices may result in short term dislocation (</w:t>
      </w:r>
      <w:r w:rsidRPr="000E0C38">
        <w:rPr>
          <w:rFonts w:eastAsia="Times New Roman"/>
          <w:lang w:eastAsia="en-GB"/>
        </w:rPr>
        <w:t xml:space="preserve">where more inefficient and labour-intensive jobs are displaced). Bowen and </w:t>
      </w:r>
      <w:proofErr w:type="spellStart"/>
      <w:r w:rsidRPr="000E0C38">
        <w:rPr>
          <w:rFonts w:eastAsia="Times New Roman"/>
          <w:lang w:eastAsia="en-GB"/>
        </w:rPr>
        <w:t>Kuralbayeva</w:t>
      </w:r>
      <w:proofErr w:type="spellEnd"/>
      <w:r w:rsidRPr="000E0C38">
        <w:rPr>
          <w:rFonts w:eastAsia="Times New Roman"/>
          <w:lang w:eastAsia="en-GB"/>
        </w:rPr>
        <w:t xml:space="preserve"> find the potential for net job destruction in carbon intensive industries such as construction, which is only mitigated if environmental taxes (for example, carbon levies) are recycled for job creating activities and investment in sustainable sectors.</w:t>
      </w:r>
      <w:r w:rsidRPr="000E0C38">
        <w:rPr>
          <w:rFonts w:eastAsia="Times New Roman"/>
          <w:vertAlign w:val="superscript"/>
          <w:lang w:eastAsia="en-GB"/>
        </w:rPr>
        <w:footnoteReference w:id="114"/>
      </w:r>
      <w:r w:rsidRPr="000E0C38">
        <w:rPr>
          <w:rFonts w:eastAsia="Times New Roman"/>
          <w:lang w:eastAsia="en-GB"/>
        </w:rPr>
        <w:t xml:space="preserve"> In the longer term, gains in other industries would fully offset those</w:t>
      </w:r>
      <w:r w:rsidR="000B434E" w:rsidRPr="000E0C38">
        <w:rPr>
          <w:rFonts w:eastAsia="Times New Roman"/>
          <w:lang w:eastAsia="en-GB"/>
        </w:rPr>
        <w:t xml:space="preserve"> </w:t>
      </w:r>
      <w:r w:rsidRPr="000E0C38">
        <w:rPr>
          <w:rFonts w:eastAsia="Times New Roman"/>
          <w:lang w:eastAsia="en-GB"/>
        </w:rPr>
        <w:t>losses.</w:t>
      </w:r>
      <w:r w:rsidRPr="000E0C38">
        <w:rPr>
          <w:rFonts w:eastAsia="Times New Roman"/>
          <w:vertAlign w:val="superscript"/>
          <w:lang w:eastAsia="en-GB"/>
        </w:rPr>
        <w:footnoteReference w:id="115"/>
      </w:r>
      <w:r w:rsidRPr="000E0C38">
        <w:rPr>
          <w:rFonts w:eastAsia="Times New Roman"/>
          <w:vertAlign w:val="superscript"/>
          <w:lang w:eastAsia="en-GB"/>
        </w:rPr>
        <w:t xml:space="preserve"> </w:t>
      </w:r>
      <w:r w:rsidRPr="000E0C38">
        <w:rPr>
          <w:rFonts w:eastAsia="Times New Roman"/>
          <w:lang w:eastAsia="en-GB"/>
        </w:rPr>
        <w:t>However, these effects are poorly understood and require greater evidence.</w:t>
      </w:r>
      <w:r w:rsidRPr="000E0C38">
        <w:rPr>
          <w:rFonts w:eastAsia="Times New Roman"/>
          <w:vertAlign w:val="superscript"/>
          <w:lang w:eastAsia="en-GB"/>
        </w:rPr>
        <w:footnoteReference w:id="116"/>
      </w:r>
    </w:p>
    <w:p w14:paraId="27395576" w14:textId="67A480DC" w:rsidR="00A9380E" w:rsidRPr="000E0C38" w:rsidRDefault="00A9380E" w:rsidP="00991DB7">
      <w:pPr>
        <w:pStyle w:val="Heading2"/>
        <w:spacing w:before="0"/>
        <w:jc w:val="both"/>
      </w:pPr>
      <w:bookmarkStart w:id="43" w:name="_Toc498019410"/>
      <w:r w:rsidRPr="000E0C38">
        <w:t>4.</w:t>
      </w:r>
      <w:r w:rsidR="006A62B6">
        <w:t>3</w:t>
      </w:r>
      <w:r w:rsidRPr="000E0C38">
        <w:t xml:space="preserve"> Undertaking VFM assessment on labour market interventions</w:t>
      </w:r>
      <w:bookmarkEnd w:id="43"/>
    </w:p>
    <w:p w14:paraId="5D904D28" w14:textId="0567D74C" w:rsidR="00A9380E" w:rsidRPr="000E0C38" w:rsidRDefault="00C9781E" w:rsidP="00432BEF">
      <w:pPr>
        <w:pStyle w:val="BodyText"/>
        <w:jc w:val="both"/>
      </w:pPr>
      <w:r w:rsidRPr="000E0C38">
        <w:t>In practical terms, DFID advisors considering investing in construction labour market reform</w:t>
      </w:r>
      <w:r w:rsidR="00DA7D07" w:rsidRPr="000E0C38">
        <w:t xml:space="preserve"> as part of a business case</w:t>
      </w:r>
      <w:r w:rsidRPr="000E0C38">
        <w:t xml:space="preserve"> will be expected to undertake a cost-benefit analysis of potential interventions</w:t>
      </w:r>
      <w:r w:rsidR="00DA7D07" w:rsidRPr="000E0C38">
        <w:t xml:space="preserve"> (including against other interventions).  This requires developing a discounted valuation model of the potential costs and benefit streams </w:t>
      </w:r>
      <w:r w:rsidR="002D39FC" w:rsidRPr="000E0C38">
        <w:t xml:space="preserve">related to </w:t>
      </w:r>
      <w:r w:rsidR="00DA7D07" w:rsidRPr="000E0C38">
        <w:t>the project to create a benefit-cost ratio (BCR).  This can then be compared against the returns on similar programmes or against other sector interventions.  This work will normally be undertaken by a labour market or d</w:t>
      </w:r>
      <w:r w:rsidR="002D39FC" w:rsidRPr="000E0C38">
        <w:t>evelopmental economist, following DFID economic appraisal guidance (based on HMG Green Book guidance).</w:t>
      </w:r>
    </w:p>
    <w:p w14:paraId="3C7A584E" w14:textId="453816D0" w:rsidR="003E2C1F" w:rsidRPr="000E0C38" w:rsidRDefault="00DA7D07" w:rsidP="00432BEF">
      <w:pPr>
        <w:pStyle w:val="BodyText"/>
        <w:jc w:val="both"/>
      </w:pPr>
      <w:r w:rsidRPr="000E0C38">
        <w:lastRenderedPageBreak/>
        <w:t>Costs will generally be those associated with programme implementation (both DFID and 3</w:t>
      </w:r>
      <w:r w:rsidRPr="000E0C38">
        <w:rPr>
          <w:vertAlign w:val="superscript"/>
        </w:rPr>
        <w:t>rd</w:t>
      </w:r>
      <w:r w:rsidRPr="000E0C38">
        <w:t xml:space="preserve"> party co-financing</w:t>
      </w:r>
      <w:r w:rsidR="00E131A9" w:rsidRPr="000E0C38">
        <w:t>)</w:t>
      </w:r>
      <w:r w:rsidR="002D39FC" w:rsidRPr="000E0C38">
        <w:t>.</w:t>
      </w:r>
      <w:r w:rsidR="003E2C1F" w:rsidRPr="000E0C38">
        <w:t xml:space="preserve">  Costs may also include additional financial obligations to employers (wages, taxation, HSE costs).  The impact of improved regulation or compliance on construction sector companies acts as a value transfer system from employer to employee.</w:t>
      </w:r>
    </w:p>
    <w:p w14:paraId="328194A5" w14:textId="15F0F35C" w:rsidR="00DA7D07" w:rsidRPr="000E0C38" w:rsidRDefault="00957C2B" w:rsidP="00432BEF">
      <w:pPr>
        <w:pStyle w:val="BodyText"/>
        <w:jc w:val="both"/>
      </w:pPr>
      <w:r w:rsidRPr="000E0C38">
        <w:t>The b</w:t>
      </w:r>
      <w:r w:rsidR="00DA7D07" w:rsidRPr="000E0C38">
        <w:t xml:space="preserve">enefits </w:t>
      </w:r>
      <w:r w:rsidRPr="000E0C38">
        <w:t xml:space="preserve">of labour market </w:t>
      </w:r>
      <w:r w:rsidR="00E131A9" w:rsidRPr="000E0C38">
        <w:t>interventions</w:t>
      </w:r>
      <w:r w:rsidRPr="000E0C38">
        <w:t xml:space="preserve"> </w:t>
      </w:r>
      <w:r w:rsidR="00DA7D07" w:rsidRPr="000E0C38">
        <w:t>are potentially many</w:t>
      </w:r>
      <w:r w:rsidR="003E2C1F" w:rsidRPr="000E0C38">
        <w:t>, with some direct and others indirect</w:t>
      </w:r>
      <w:r w:rsidR="00DA7D07" w:rsidRPr="000E0C38">
        <w:t>.  Some can be potentially quantified and valued in economic terms</w:t>
      </w:r>
      <w:r w:rsidR="003E2C1F" w:rsidRPr="000E0C38">
        <w:t>, while o</w:t>
      </w:r>
      <w:r w:rsidR="00DA7D07" w:rsidRPr="000E0C38">
        <w:t>ther</w:t>
      </w:r>
      <w:r w:rsidR="00E131A9" w:rsidRPr="000E0C38">
        <w:t>s may be qualitative</w:t>
      </w:r>
      <w:r w:rsidR="003E2C1F" w:rsidRPr="000E0C38">
        <w:t>.</w:t>
      </w:r>
    </w:p>
    <w:p w14:paraId="1DCCC59C" w14:textId="4010C455" w:rsidR="003E2C1F" w:rsidRPr="000E0C38" w:rsidRDefault="003E2C1F" w:rsidP="00432BEF">
      <w:pPr>
        <w:pStyle w:val="Caption"/>
        <w:rPr>
          <w:iCs/>
          <w:sz w:val="20"/>
        </w:rPr>
      </w:pPr>
      <w:r w:rsidRPr="000E0C38">
        <w:rPr>
          <w:b/>
          <w:iCs/>
          <w:sz w:val="20"/>
        </w:rPr>
        <w:t xml:space="preserve">Table </w:t>
      </w:r>
      <w:r w:rsidRPr="000E0C38">
        <w:rPr>
          <w:b/>
          <w:iCs/>
          <w:sz w:val="20"/>
        </w:rPr>
        <w:fldChar w:fldCharType="begin"/>
      </w:r>
      <w:r w:rsidRPr="000E0C38">
        <w:rPr>
          <w:b/>
          <w:iCs/>
          <w:sz w:val="20"/>
        </w:rPr>
        <w:instrText xml:space="preserve"> SEQ Table \* ARABIC </w:instrText>
      </w:r>
      <w:r w:rsidRPr="000E0C38">
        <w:rPr>
          <w:b/>
          <w:iCs/>
          <w:sz w:val="20"/>
        </w:rPr>
        <w:fldChar w:fldCharType="separate"/>
      </w:r>
      <w:r w:rsidR="001A6968" w:rsidRPr="000E0C38">
        <w:rPr>
          <w:b/>
          <w:iCs/>
          <w:sz w:val="20"/>
        </w:rPr>
        <w:t>4</w:t>
      </w:r>
      <w:r w:rsidRPr="000E0C38">
        <w:rPr>
          <w:b/>
          <w:iCs/>
          <w:sz w:val="20"/>
        </w:rPr>
        <w:fldChar w:fldCharType="end"/>
      </w:r>
      <w:r w:rsidRPr="000E0C38">
        <w:rPr>
          <w:b/>
          <w:iCs/>
          <w:sz w:val="20"/>
        </w:rPr>
        <w:t>: Costs and benefits of construction sector reform</w:t>
      </w:r>
    </w:p>
    <w:tbl>
      <w:tblPr>
        <w:tblStyle w:val="Normaltablestyle"/>
        <w:tblW w:w="0" w:type="auto"/>
        <w:tblLook w:val="0480" w:firstRow="0" w:lastRow="0" w:firstColumn="1" w:lastColumn="0" w:noHBand="0" w:noVBand="1"/>
      </w:tblPr>
      <w:tblGrid>
        <w:gridCol w:w="2127"/>
        <w:gridCol w:w="7370"/>
      </w:tblGrid>
      <w:tr w:rsidR="00DA7D07" w:rsidRPr="000E0C38" w14:paraId="3893588D" w14:textId="77777777" w:rsidTr="00432BEF">
        <w:trPr>
          <w:cnfStyle w:val="000000100000" w:firstRow="0" w:lastRow="0" w:firstColumn="0" w:lastColumn="0" w:oddVBand="0" w:evenVBand="0" w:oddHBand="1" w:evenHBand="0" w:firstRowFirstColumn="0" w:firstRowLastColumn="0" w:lastRowFirstColumn="0" w:lastRowLastColumn="0"/>
        </w:trPr>
        <w:tc>
          <w:tcPr>
            <w:tcW w:w="2127" w:type="dxa"/>
            <w:tcBorders>
              <w:top w:val="dashSmallGap" w:sz="4" w:space="0" w:color="2A3880" w:themeColor="accent1"/>
            </w:tcBorders>
          </w:tcPr>
          <w:p w14:paraId="303056E2" w14:textId="77777777" w:rsidR="00DA7D07" w:rsidRPr="000E0C38" w:rsidRDefault="00DA7D07" w:rsidP="00432BEF">
            <w:pPr>
              <w:pStyle w:val="BodyText"/>
              <w:spacing w:after="0" w:line="276" w:lineRule="auto"/>
              <w:rPr>
                <w:b/>
              </w:rPr>
            </w:pPr>
            <w:r w:rsidRPr="000E0C38">
              <w:rPr>
                <w:b/>
              </w:rPr>
              <w:t>Costs</w:t>
            </w:r>
          </w:p>
        </w:tc>
        <w:tc>
          <w:tcPr>
            <w:tcW w:w="7370" w:type="dxa"/>
            <w:tcBorders>
              <w:top w:val="dashSmallGap" w:sz="4" w:space="0" w:color="2A3880" w:themeColor="accent1"/>
            </w:tcBorders>
          </w:tcPr>
          <w:p w14:paraId="4981E6E1" w14:textId="1BEE0EA9" w:rsidR="00DA7D07" w:rsidRPr="000E0C38" w:rsidRDefault="003E2C1F" w:rsidP="00432BEF">
            <w:pPr>
              <w:pStyle w:val="BodyText"/>
              <w:spacing w:after="0" w:line="276" w:lineRule="auto"/>
            </w:pPr>
            <w:r w:rsidRPr="000E0C38">
              <w:t>Direct</w:t>
            </w:r>
            <w:r w:rsidR="00DA7D07" w:rsidRPr="000E0C38">
              <w:t xml:space="preserve"> programme costs</w:t>
            </w:r>
          </w:p>
          <w:p w14:paraId="17832A38" w14:textId="46DF53B5" w:rsidR="00DA7D07" w:rsidRPr="000E0C38" w:rsidRDefault="00DA7D07" w:rsidP="00432BEF">
            <w:pPr>
              <w:pStyle w:val="BodyText"/>
              <w:spacing w:after="0" w:line="276" w:lineRule="auto"/>
            </w:pPr>
            <w:r w:rsidRPr="000E0C38">
              <w:t>Third party co-finance</w:t>
            </w:r>
            <w:r w:rsidR="003E2C1F" w:rsidRPr="000E0C38">
              <w:t xml:space="preserve"> and leverage</w:t>
            </w:r>
          </w:p>
          <w:p w14:paraId="1DF77013" w14:textId="4E91DA54" w:rsidR="00DA7D07" w:rsidRPr="000E0C38" w:rsidRDefault="00DA7D07" w:rsidP="00432BEF">
            <w:pPr>
              <w:pStyle w:val="BodyText"/>
              <w:spacing w:after="0" w:line="276" w:lineRule="auto"/>
            </w:pPr>
            <w:r w:rsidRPr="000E0C38">
              <w:t>Additional costs of regulation and compliance to construction sector (</w:t>
            </w:r>
            <w:r w:rsidR="003E2C1F" w:rsidRPr="000E0C38">
              <w:t xml:space="preserve">e.g. </w:t>
            </w:r>
            <w:r w:rsidRPr="000E0C38">
              <w:t>wages</w:t>
            </w:r>
            <w:r w:rsidR="003E2C1F" w:rsidRPr="000E0C38">
              <w:t>, improved standards</w:t>
            </w:r>
            <w:r w:rsidRPr="000E0C38">
              <w:t>)</w:t>
            </w:r>
          </w:p>
        </w:tc>
      </w:tr>
      <w:tr w:rsidR="00DA7D07" w:rsidRPr="000E0C38" w14:paraId="2041FDBD" w14:textId="77777777" w:rsidTr="00432BEF">
        <w:trPr>
          <w:cnfStyle w:val="000000010000" w:firstRow="0" w:lastRow="0" w:firstColumn="0" w:lastColumn="0" w:oddVBand="0" w:evenVBand="0" w:oddHBand="0" w:evenHBand="1" w:firstRowFirstColumn="0" w:firstRowLastColumn="0" w:lastRowFirstColumn="0" w:lastRowLastColumn="0"/>
        </w:trPr>
        <w:tc>
          <w:tcPr>
            <w:tcW w:w="2127" w:type="dxa"/>
          </w:tcPr>
          <w:p w14:paraId="07B8F64A" w14:textId="72731B01" w:rsidR="00DA7D07" w:rsidRPr="000E0C38" w:rsidRDefault="00DA7D07" w:rsidP="00432BEF">
            <w:pPr>
              <w:pStyle w:val="BodyText"/>
              <w:spacing w:after="0" w:line="276" w:lineRule="auto"/>
              <w:rPr>
                <w:b/>
              </w:rPr>
            </w:pPr>
            <w:r w:rsidRPr="000E0C38">
              <w:rPr>
                <w:b/>
              </w:rPr>
              <w:t>Socio-economic benefits</w:t>
            </w:r>
          </w:p>
        </w:tc>
        <w:tc>
          <w:tcPr>
            <w:tcW w:w="7370" w:type="dxa"/>
          </w:tcPr>
          <w:p w14:paraId="208686CE" w14:textId="77777777" w:rsidR="00B93FD6" w:rsidRPr="000E0C38" w:rsidRDefault="00B93FD6" w:rsidP="00432BEF">
            <w:pPr>
              <w:pStyle w:val="BodyText"/>
              <w:spacing w:after="0" w:line="276" w:lineRule="auto"/>
            </w:pPr>
            <w:r w:rsidRPr="000E0C38">
              <w:t>Additional jobs created in supply chain (direct and indirect)</w:t>
            </w:r>
          </w:p>
          <w:p w14:paraId="0517AB2B" w14:textId="77777777" w:rsidR="00F05D32" w:rsidRPr="000E0C38" w:rsidRDefault="00957C2B" w:rsidP="00432BEF">
            <w:pPr>
              <w:pStyle w:val="BodyText"/>
              <w:spacing w:after="0" w:line="276" w:lineRule="auto"/>
            </w:pPr>
            <w:r w:rsidRPr="000E0C38">
              <w:t>Avoided loss of life</w:t>
            </w:r>
            <w:r w:rsidR="00185631" w:rsidRPr="000E0C38">
              <w:t xml:space="preserve"> and injury</w:t>
            </w:r>
            <w:r w:rsidR="0091401F" w:rsidRPr="000E0C38">
              <w:t xml:space="preserve"> (measured in terms of </w:t>
            </w:r>
            <w:r w:rsidR="00F05D32" w:rsidRPr="000E0C38">
              <w:t>shadow wage rate)</w:t>
            </w:r>
          </w:p>
          <w:p w14:paraId="0DFAA4DF" w14:textId="5B3BFB49" w:rsidR="002D39FC" w:rsidRPr="000E0C38" w:rsidRDefault="002D39FC" w:rsidP="00432BEF">
            <w:pPr>
              <w:pStyle w:val="BodyText"/>
              <w:spacing w:after="0" w:line="276" w:lineRule="auto"/>
            </w:pPr>
            <w:r w:rsidRPr="000E0C38">
              <w:t>Reduction in economic losses to employers (</w:t>
            </w:r>
            <w:r w:rsidR="003E2C1F" w:rsidRPr="000E0C38">
              <w:t xml:space="preserve">e.g. </w:t>
            </w:r>
            <w:r w:rsidRPr="000E0C38">
              <w:t>compensation</w:t>
            </w:r>
            <w:r w:rsidR="003E2C1F" w:rsidRPr="000E0C38">
              <w:t xml:space="preserve">, </w:t>
            </w:r>
            <w:r w:rsidR="003A4429" w:rsidRPr="000E0C38">
              <w:t>fines</w:t>
            </w:r>
            <w:r w:rsidRPr="000E0C38">
              <w:t>)</w:t>
            </w:r>
          </w:p>
          <w:p w14:paraId="244768EC" w14:textId="68EDA5D3" w:rsidR="002D39FC" w:rsidRPr="000E0C38" w:rsidRDefault="002D39FC" w:rsidP="00432BEF">
            <w:pPr>
              <w:pStyle w:val="BodyText"/>
              <w:spacing w:after="0" w:line="276" w:lineRule="auto"/>
            </w:pPr>
            <w:r w:rsidRPr="000E0C38">
              <w:t>Higher skills and productivity</w:t>
            </w:r>
            <w:r w:rsidR="003E2C1F" w:rsidRPr="000E0C38">
              <w:t xml:space="preserve"> (e.g. quality and speed of </w:t>
            </w:r>
            <w:r w:rsidR="00B93FD6" w:rsidRPr="000E0C38">
              <w:t xml:space="preserve">infrastructure </w:t>
            </w:r>
            <w:r w:rsidR="003E2C1F" w:rsidRPr="000E0C38">
              <w:t>delivery)</w:t>
            </w:r>
          </w:p>
          <w:p w14:paraId="18E84F43" w14:textId="4385A1D4" w:rsidR="00957C2B" w:rsidRPr="000E0C38" w:rsidRDefault="003E2C1F" w:rsidP="00432BEF">
            <w:pPr>
              <w:pStyle w:val="BodyText"/>
              <w:spacing w:after="0" w:line="276" w:lineRule="auto"/>
            </w:pPr>
            <w:r w:rsidRPr="000E0C38">
              <w:t>W</w:t>
            </w:r>
            <w:r w:rsidR="002D39FC" w:rsidRPr="000E0C38">
              <w:t xml:space="preserve">ider </w:t>
            </w:r>
            <w:r w:rsidR="00B93FD6" w:rsidRPr="000E0C38">
              <w:t xml:space="preserve">and more inclusive </w:t>
            </w:r>
            <w:r w:rsidR="002D39FC" w:rsidRPr="000E0C38">
              <w:t>labour pool</w:t>
            </w:r>
            <w:r w:rsidR="00B93FD6" w:rsidRPr="000E0C38">
              <w:t xml:space="preserve"> (qualitative)</w:t>
            </w:r>
          </w:p>
          <w:p w14:paraId="5DCD18EC" w14:textId="1EBA7A9E" w:rsidR="0091401F" w:rsidRPr="000E0C38" w:rsidRDefault="0091401F" w:rsidP="00432BEF">
            <w:pPr>
              <w:pStyle w:val="BodyText"/>
              <w:spacing w:after="0" w:line="276" w:lineRule="auto"/>
            </w:pPr>
            <w:r w:rsidRPr="000E0C38">
              <w:t>Increased economic activity</w:t>
            </w:r>
            <w:r w:rsidR="002D39FC" w:rsidRPr="000E0C38">
              <w:t xml:space="preserve"> (SME expansion</w:t>
            </w:r>
            <w:r w:rsidR="00F05D32" w:rsidRPr="000E0C38">
              <w:t xml:space="preserve">, </w:t>
            </w:r>
            <w:proofErr w:type="spellStart"/>
            <w:r w:rsidR="00F05D32" w:rsidRPr="000E0C38">
              <w:t>spillover</w:t>
            </w:r>
            <w:proofErr w:type="spellEnd"/>
            <w:r w:rsidR="00F05D32" w:rsidRPr="000E0C38">
              <w:t xml:space="preserve"> effects</w:t>
            </w:r>
            <w:r w:rsidR="002D39FC" w:rsidRPr="000E0C38">
              <w:t>)</w:t>
            </w:r>
          </w:p>
        </w:tc>
      </w:tr>
    </w:tbl>
    <w:p w14:paraId="2A0E22A1" w14:textId="389825CB" w:rsidR="0091401F" w:rsidRPr="000E0C38" w:rsidRDefault="003A4429" w:rsidP="00432BEF">
      <w:pPr>
        <w:pStyle w:val="BodyText"/>
        <w:spacing w:before="60" w:after="120"/>
        <w:jc w:val="both"/>
      </w:pPr>
      <w:r w:rsidRPr="000E0C38">
        <w:t>Within a cost-benefit analysis, c</w:t>
      </w:r>
      <w:r w:rsidR="0091401F" w:rsidRPr="000E0C38">
        <w:t xml:space="preserve">onsideration should also be given to equity - the extent to which the project targets disadvantaged areas, engage with </w:t>
      </w:r>
      <w:r w:rsidR="00F05D32" w:rsidRPr="000E0C38">
        <w:t>marginalised</w:t>
      </w:r>
      <w:r w:rsidR="0091401F" w:rsidRPr="000E0C38">
        <w:t xml:space="preserve"> groups.  Interventions that underpin construction projects targeting areas that support marginalised populations should also be taken into account.</w:t>
      </w:r>
    </w:p>
    <w:p w14:paraId="29A5F2D4" w14:textId="0BC70631" w:rsidR="0091401F" w:rsidRPr="000E0C38" w:rsidRDefault="00B93FD6" w:rsidP="00EE5618">
      <w:pPr>
        <w:pStyle w:val="BodyText"/>
        <w:spacing w:after="120"/>
        <w:jc w:val="both"/>
      </w:pPr>
      <w:r w:rsidRPr="000E0C38">
        <w:t>There is a significant body of valuation work on job creation, exploring the use of shadow wage rates to account for displacement within the economy. However, a</w:t>
      </w:r>
      <w:r w:rsidR="0091401F" w:rsidRPr="000E0C38">
        <w:t xml:space="preserve"> review of the evidence indicates </w:t>
      </w:r>
      <w:r w:rsidR="002D39FC" w:rsidRPr="000E0C38">
        <w:t>no identified studies where specific cost benefit analysis had been undertaken on improving labour conditions in the construction sector.  This therefore constitutes an area of research to which DFID could make a valuable contribution both through ex-ante appraisal and ex-post monitoring and evaluation.</w:t>
      </w:r>
    </w:p>
    <w:p w14:paraId="7347CD5D" w14:textId="6F8280D8" w:rsidR="003F368F" w:rsidRPr="000E0C38" w:rsidRDefault="009E557B" w:rsidP="00991DB7">
      <w:pPr>
        <w:pStyle w:val="Heading2"/>
        <w:spacing w:before="0"/>
        <w:jc w:val="both"/>
      </w:pPr>
      <w:bookmarkStart w:id="44" w:name="_Toc498019411"/>
      <w:r w:rsidRPr="000E0C38">
        <w:t>4.</w:t>
      </w:r>
      <w:r w:rsidR="006A62B6">
        <w:t>4</w:t>
      </w:r>
      <w:r w:rsidR="00716DC4" w:rsidRPr="000E0C38">
        <w:t xml:space="preserve"> </w:t>
      </w:r>
      <w:r w:rsidR="003F368F" w:rsidRPr="000E0C38">
        <w:t xml:space="preserve">Impact of imported </w:t>
      </w:r>
      <w:r w:rsidR="00134098" w:rsidRPr="000E0C38">
        <w:t xml:space="preserve">labour </w:t>
      </w:r>
      <w:r w:rsidR="003430E9" w:rsidRPr="000E0C38">
        <w:t xml:space="preserve">and supply chain </w:t>
      </w:r>
      <w:r w:rsidR="009800CC" w:rsidRPr="000E0C38">
        <w:t xml:space="preserve">resourcing </w:t>
      </w:r>
      <w:r w:rsidR="003F368F" w:rsidRPr="000E0C38">
        <w:t>models</w:t>
      </w:r>
      <w:bookmarkEnd w:id="44"/>
    </w:p>
    <w:p w14:paraId="249E556F" w14:textId="77777777" w:rsidR="003F368F" w:rsidRPr="000E0C38" w:rsidRDefault="003F368F" w:rsidP="00991DB7">
      <w:pPr>
        <w:pStyle w:val="BodyText"/>
        <w:spacing w:after="120" w:line="276" w:lineRule="auto"/>
        <w:jc w:val="both"/>
      </w:pPr>
      <w:r w:rsidRPr="000E0C38">
        <w:t>There have been concerns that economic value associated with investment in construction and associated labour markers may not be fully captured by the local economy where there is a high</w:t>
      </w:r>
      <w:r w:rsidR="009876A1" w:rsidRPr="000E0C38">
        <w:t>er</w:t>
      </w:r>
      <w:r w:rsidRPr="000E0C38">
        <w:t xml:space="preserve"> level of participation by international companies (particularly those operating an import</w:t>
      </w:r>
      <w:r w:rsidR="00630E6D" w:rsidRPr="000E0C38">
        <w:t>-based</w:t>
      </w:r>
      <w:r w:rsidRPr="000E0C38">
        <w:t xml:space="preserve"> labour </w:t>
      </w:r>
      <w:r w:rsidR="009800CC" w:rsidRPr="000E0C38">
        <w:t xml:space="preserve">and supply chain </w:t>
      </w:r>
      <w:r w:rsidRPr="000E0C38">
        <w:t xml:space="preserve">model as </w:t>
      </w:r>
      <w:r w:rsidR="004C6F55" w:rsidRPr="000E0C38">
        <w:t xml:space="preserve">is sometimes </w:t>
      </w:r>
      <w:r w:rsidR="00630E6D" w:rsidRPr="000E0C38">
        <w:t>the case with develo</w:t>
      </w:r>
      <w:r w:rsidR="009876A1" w:rsidRPr="000E0C38">
        <w:t>ping country contractors)</w:t>
      </w:r>
      <w:r w:rsidR="00FB2935" w:rsidRPr="000E0C38">
        <w:t xml:space="preserve">. </w:t>
      </w:r>
      <w:r w:rsidRPr="000E0C38">
        <w:t>While the report has set out some of the potential benefits</w:t>
      </w:r>
      <w:r w:rsidR="009876A1" w:rsidRPr="000E0C38">
        <w:t xml:space="preserve"> of foreign contractor </w:t>
      </w:r>
      <w:r w:rsidR="00EF0B69" w:rsidRPr="000E0C38">
        <w:t>engagement</w:t>
      </w:r>
      <w:r w:rsidRPr="000E0C38">
        <w:t>, it is not fully clear whether the use of import</w:t>
      </w:r>
      <w:r w:rsidR="009800CC" w:rsidRPr="000E0C38">
        <w:t xml:space="preserve">-based </w:t>
      </w:r>
      <w:r w:rsidRPr="000E0C38">
        <w:t xml:space="preserve">models hinders economic growth (reducing capture of direct benefits from construction within the domestic economy), or </w:t>
      </w:r>
      <w:r w:rsidR="004C6F55" w:rsidRPr="000E0C38">
        <w:t>rather</w:t>
      </w:r>
      <w:r w:rsidRPr="000E0C38">
        <w:t xml:space="preserve"> support</w:t>
      </w:r>
      <w:r w:rsidR="004C6F55" w:rsidRPr="000E0C38">
        <w:t>s</w:t>
      </w:r>
      <w:r w:rsidRPr="000E0C38">
        <w:t xml:space="preserve"> growth by increasing the speed, efficiency and quality of infrastructure delivery and the associated downstream benefits to users.</w:t>
      </w:r>
    </w:p>
    <w:p w14:paraId="6940457C" w14:textId="011960AA" w:rsidR="003F368F" w:rsidRPr="000E0C38" w:rsidRDefault="003F368F" w:rsidP="00991DB7">
      <w:pPr>
        <w:pStyle w:val="BodyText"/>
        <w:spacing w:after="120" w:line="276" w:lineRule="auto"/>
        <w:jc w:val="both"/>
      </w:pPr>
      <w:r w:rsidRPr="000E0C38">
        <w:t xml:space="preserve">For example, China is the largest provider of construction finance in Africa.  Chinese construction contractors </w:t>
      </w:r>
      <w:r w:rsidR="00B76469" w:rsidRPr="000E0C38">
        <w:t>currently represent c.</w:t>
      </w:r>
      <w:r w:rsidR="006A62B6">
        <w:t xml:space="preserve"> </w:t>
      </w:r>
      <w:r w:rsidRPr="000E0C38">
        <w:t>50 per</w:t>
      </w:r>
      <w:r w:rsidR="006A62B6">
        <w:t xml:space="preserve"> </w:t>
      </w:r>
      <w:r w:rsidRPr="000E0C38">
        <w:t xml:space="preserve">cent of Africa’s international engineering, procurement, and construction (EPC) market, </w:t>
      </w:r>
      <w:r w:rsidR="00675B3E" w:rsidRPr="000E0C38">
        <w:t xml:space="preserve">with a total </w:t>
      </w:r>
      <w:r w:rsidR="00B76469" w:rsidRPr="000E0C38">
        <w:t>value of c.</w:t>
      </w:r>
      <w:r w:rsidR="00BD0976" w:rsidRPr="000E0C38">
        <w:t xml:space="preserve"> USD </w:t>
      </w:r>
      <w:r w:rsidR="00B76469" w:rsidRPr="000E0C38">
        <w:t xml:space="preserve">40 billion. </w:t>
      </w:r>
      <w:r w:rsidRPr="000E0C38">
        <w:t xml:space="preserve">Six of the ten largest international EPC contractors operating in Africa are Chinese: China Communications Construction, China Railway Group, </w:t>
      </w:r>
      <w:proofErr w:type="spellStart"/>
      <w:r w:rsidRPr="000E0C38">
        <w:t>Sinohydro</w:t>
      </w:r>
      <w:proofErr w:type="spellEnd"/>
      <w:r w:rsidRPr="000E0C38">
        <w:t xml:space="preserve"> Group, China State Construction Engineering Corporation, China Railway Construction Corporation, and </w:t>
      </w:r>
      <w:proofErr w:type="spellStart"/>
      <w:r w:rsidRPr="000E0C38">
        <w:t>Citic</w:t>
      </w:r>
      <w:proofErr w:type="spellEnd"/>
      <w:r w:rsidRPr="000E0C38">
        <w:t xml:space="preserve"> Construction Company,</w:t>
      </w:r>
      <w:r w:rsidR="00675B3E" w:rsidRPr="000E0C38">
        <w:t xml:space="preserve"> but it is estimated that </w:t>
      </w:r>
      <w:r w:rsidRPr="000E0C38">
        <w:t>upwards of 1500 Chinese firms are engaged in</w:t>
      </w:r>
      <w:r w:rsidR="00B76469" w:rsidRPr="000E0C38">
        <w:t xml:space="preserve"> construction and real estate. </w:t>
      </w:r>
      <w:r w:rsidRPr="000E0C38">
        <w:t>African government officials overseeing infrastructure development for their countries cited Chinese firms’ efficient cost structures and speedy delivery as major value-adds.</w:t>
      </w:r>
      <w:r w:rsidRPr="000E0C38">
        <w:rPr>
          <w:vertAlign w:val="superscript"/>
        </w:rPr>
        <w:footnoteReference w:id="117"/>
      </w:r>
    </w:p>
    <w:p w14:paraId="61B68ECB" w14:textId="71652040" w:rsidR="003F368F" w:rsidRPr="000E0C38" w:rsidRDefault="003F368F" w:rsidP="00EE5618">
      <w:pPr>
        <w:pStyle w:val="BodyText"/>
        <w:spacing w:after="120" w:line="276" w:lineRule="auto"/>
        <w:jc w:val="both"/>
      </w:pPr>
      <w:r w:rsidRPr="000E0C38">
        <w:lastRenderedPageBreak/>
        <w:t xml:space="preserve">Where there is large-scale use of imported labour </w:t>
      </w:r>
      <w:r w:rsidR="003A4429" w:rsidRPr="000E0C38">
        <w:t xml:space="preserve">or supply chain resource </w:t>
      </w:r>
      <w:r w:rsidRPr="000E0C38">
        <w:t>on large infrastructure projects, the direct benefits accruing to the domestic economy may be more limited or have different distributional effects, including:</w:t>
      </w:r>
    </w:p>
    <w:p w14:paraId="3390FF67" w14:textId="77777777" w:rsidR="003F368F" w:rsidRPr="000E0C38" w:rsidRDefault="003F368F" w:rsidP="00831B36">
      <w:pPr>
        <w:pStyle w:val="ListBullet"/>
        <w:numPr>
          <w:ilvl w:val="0"/>
          <w:numId w:val="20"/>
        </w:numPr>
        <w:spacing w:after="0" w:line="276" w:lineRule="auto"/>
        <w:ind w:left="284" w:hanging="284"/>
        <w:jc w:val="both"/>
      </w:pPr>
      <w:r w:rsidRPr="000E0C38">
        <w:t>Lower capture of economic dividend by local firms and labour</w:t>
      </w:r>
      <w:r w:rsidR="00B76469" w:rsidRPr="000E0C38">
        <w:t>.</w:t>
      </w:r>
    </w:p>
    <w:p w14:paraId="5CA2DD58" w14:textId="77777777" w:rsidR="003F368F" w:rsidRPr="000E0C38" w:rsidRDefault="003F368F" w:rsidP="00831B36">
      <w:pPr>
        <w:pStyle w:val="ListBullet"/>
        <w:numPr>
          <w:ilvl w:val="0"/>
          <w:numId w:val="20"/>
        </w:numPr>
        <w:spacing w:after="0" w:line="276" w:lineRule="auto"/>
        <w:ind w:left="284" w:hanging="284"/>
        <w:jc w:val="both"/>
      </w:pPr>
      <w:r w:rsidRPr="000E0C38">
        <w:t xml:space="preserve">Reduced multiplier and </w:t>
      </w:r>
      <w:proofErr w:type="spellStart"/>
      <w:r w:rsidRPr="000E0C38">
        <w:t>spillover</w:t>
      </w:r>
      <w:proofErr w:type="spellEnd"/>
      <w:r w:rsidRPr="000E0C38">
        <w:t xml:space="preserve"> effects due to remittances</w:t>
      </w:r>
      <w:r w:rsidR="00B76469" w:rsidRPr="000E0C38">
        <w:t>.</w:t>
      </w:r>
    </w:p>
    <w:p w14:paraId="6F126B62" w14:textId="77777777" w:rsidR="003F368F" w:rsidRPr="000E0C38" w:rsidRDefault="003F368F" w:rsidP="00831B36">
      <w:pPr>
        <w:pStyle w:val="ListBullet"/>
        <w:numPr>
          <w:ilvl w:val="0"/>
          <w:numId w:val="20"/>
        </w:numPr>
        <w:spacing w:after="0" w:line="276" w:lineRule="auto"/>
        <w:ind w:left="284" w:hanging="284"/>
        <w:jc w:val="both"/>
      </w:pPr>
      <w:r w:rsidRPr="000E0C38">
        <w:t>Uncertain social conditions for migrant workers (exempt from local labour laws)</w:t>
      </w:r>
      <w:r w:rsidR="00B76469" w:rsidRPr="000E0C38">
        <w:t>.</w:t>
      </w:r>
    </w:p>
    <w:p w14:paraId="30AE7674" w14:textId="77777777" w:rsidR="003F368F" w:rsidRPr="000E0C38" w:rsidRDefault="003F368F" w:rsidP="00831B36">
      <w:pPr>
        <w:pStyle w:val="ListBullet"/>
        <w:numPr>
          <w:ilvl w:val="0"/>
          <w:numId w:val="20"/>
        </w:numPr>
        <w:spacing w:after="0" w:line="276" w:lineRule="auto"/>
        <w:ind w:left="284" w:hanging="284"/>
        <w:jc w:val="both"/>
      </w:pPr>
      <w:r w:rsidRPr="000E0C38">
        <w:t xml:space="preserve">Lack of skills development within </w:t>
      </w:r>
      <w:r w:rsidR="00B76469" w:rsidRPr="000E0C38">
        <w:t xml:space="preserve">the </w:t>
      </w:r>
      <w:r w:rsidRPr="000E0C38">
        <w:t>local workforce</w:t>
      </w:r>
      <w:r w:rsidR="00B76469" w:rsidRPr="000E0C38">
        <w:t>.</w:t>
      </w:r>
    </w:p>
    <w:p w14:paraId="300310B1" w14:textId="77777777" w:rsidR="003F368F" w:rsidRPr="000E0C38" w:rsidRDefault="003F368F" w:rsidP="00831B36">
      <w:pPr>
        <w:pStyle w:val="ListBullet"/>
        <w:numPr>
          <w:ilvl w:val="0"/>
          <w:numId w:val="20"/>
        </w:numPr>
        <w:spacing w:after="120" w:line="276" w:lineRule="auto"/>
        <w:ind w:left="284" w:hanging="284"/>
        <w:jc w:val="both"/>
      </w:pPr>
      <w:r w:rsidRPr="000E0C38">
        <w:t>Constrained local enterprise development (although some supply chain benefits)</w:t>
      </w:r>
      <w:r w:rsidR="00B76469" w:rsidRPr="000E0C38">
        <w:t>.</w:t>
      </w:r>
    </w:p>
    <w:p w14:paraId="00A413E5" w14:textId="5E4F8D26" w:rsidR="009800CC" w:rsidRPr="000E0C38" w:rsidRDefault="00D03842" w:rsidP="00991DB7">
      <w:pPr>
        <w:pStyle w:val="BodyText"/>
        <w:spacing w:after="120" w:line="276" w:lineRule="auto"/>
        <w:jc w:val="both"/>
      </w:pPr>
      <w:r w:rsidRPr="000E0C38">
        <w:t xml:space="preserve">The use of imported labour and supply chain resource models </w:t>
      </w:r>
      <w:r w:rsidR="007E3F8E" w:rsidRPr="000E0C38">
        <w:t>may be</w:t>
      </w:r>
      <w:r w:rsidRPr="000E0C38">
        <w:t xml:space="preserve"> a clear sign of market failure, </w:t>
      </w:r>
      <w:r w:rsidR="007E3F8E" w:rsidRPr="000E0C38">
        <w:t xml:space="preserve">reflecting concerns over the </w:t>
      </w:r>
      <w:r w:rsidRPr="000E0C38">
        <w:t xml:space="preserve">quality </w:t>
      </w:r>
      <w:r w:rsidR="007E3F8E" w:rsidRPr="000E0C38">
        <w:t xml:space="preserve">and/or cost </w:t>
      </w:r>
      <w:r w:rsidRPr="000E0C38">
        <w:t>of local goods and services</w:t>
      </w:r>
      <w:r w:rsidR="007E3F8E" w:rsidRPr="000E0C38">
        <w:t xml:space="preserve">.  It may also reflect more strategic industrial policy on behalf of the exporting nation (e.g. linking low cost </w:t>
      </w:r>
      <w:r w:rsidR="005028D1" w:rsidRPr="000E0C38">
        <w:t>procurement</w:t>
      </w:r>
      <w:r w:rsidR="007E3F8E" w:rsidRPr="000E0C38">
        <w:t xml:space="preserve"> to the use of indigenous resources</w:t>
      </w:r>
      <w:r w:rsidR="005028D1" w:rsidRPr="000E0C38">
        <w:t xml:space="preserve">, </w:t>
      </w:r>
      <w:r w:rsidR="007E3F8E" w:rsidRPr="000E0C38">
        <w:t>labour and low</w:t>
      </w:r>
      <w:r w:rsidR="00F238A5" w:rsidRPr="000E0C38">
        <w:t>-</w:t>
      </w:r>
      <w:r w:rsidR="007E3F8E" w:rsidRPr="000E0C38">
        <w:t>cost export finance or other guarantees)</w:t>
      </w:r>
      <w:r w:rsidRPr="000E0C38">
        <w:t xml:space="preserve"> </w:t>
      </w:r>
      <w:r w:rsidR="00BF689C" w:rsidRPr="000E0C38">
        <w:t>These policies may</w:t>
      </w:r>
      <w:r w:rsidR="009800CC" w:rsidRPr="000E0C38">
        <w:t xml:space="preserve"> further reduce the opportunities for local supply chain development, stunt the development of nascent industries, and reduce associated employment opportunities in the </w:t>
      </w:r>
      <w:r w:rsidR="00630E6D" w:rsidRPr="000E0C38">
        <w:t>construction</w:t>
      </w:r>
      <w:r w:rsidR="009800CC" w:rsidRPr="000E0C38">
        <w:t xml:space="preserve"> ecosystem.</w:t>
      </w:r>
      <w:r w:rsidR="00BF689C" w:rsidRPr="000E0C38">
        <w:t xml:space="preserve"> </w:t>
      </w:r>
      <w:r w:rsidR="00630E6D" w:rsidRPr="000E0C38">
        <w:t>These effects are potentially greater than those associated with foreign capture of direct employment opportunities.</w:t>
      </w:r>
    </w:p>
    <w:p w14:paraId="319BF782" w14:textId="70F17583" w:rsidR="00E95229" w:rsidRPr="000E0C38" w:rsidRDefault="00B85177" w:rsidP="00991DB7">
      <w:pPr>
        <w:pStyle w:val="BodyText"/>
        <w:spacing w:after="120" w:line="276" w:lineRule="auto"/>
        <w:jc w:val="both"/>
      </w:pPr>
      <w:r w:rsidRPr="000E0C38">
        <w:t>W</w:t>
      </w:r>
      <w:r w:rsidR="00675B3E" w:rsidRPr="000E0C38">
        <w:t>hile imported labour</w:t>
      </w:r>
      <w:r w:rsidR="00C84DD0" w:rsidRPr="000E0C38">
        <w:t xml:space="preserve"> and resource</w:t>
      </w:r>
      <w:r w:rsidR="00675B3E" w:rsidRPr="000E0C38">
        <w:t xml:space="preserve"> models </w:t>
      </w:r>
      <w:r w:rsidR="004C6F55" w:rsidRPr="000E0C38">
        <w:t xml:space="preserve">may </w:t>
      </w:r>
      <w:r w:rsidR="00675B3E" w:rsidRPr="000E0C38">
        <w:t xml:space="preserve">pose a challenge to ensuring local development impact, </w:t>
      </w:r>
      <w:r w:rsidR="005028D1" w:rsidRPr="000E0C38">
        <w:t>the situation is not static</w:t>
      </w:r>
      <w:r w:rsidR="00BF689C" w:rsidRPr="000E0C38">
        <w:t xml:space="preserve">. </w:t>
      </w:r>
      <w:r w:rsidR="00C84DD0" w:rsidRPr="000E0C38">
        <w:t>For example, t</w:t>
      </w:r>
      <w:r w:rsidR="003F368F" w:rsidRPr="000E0C38">
        <w:t xml:space="preserve">he evidence is that large turnkey developers are moving quickly towards </w:t>
      </w:r>
      <w:r w:rsidR="00BF689C" w:rsidRPr="000E0C38">
        <w:t>g</w:t>
      </w:r>
      <w:r w:rsidR="003F368F" w:rsidRPr="000E0C38">
        <w:t>reater use of domestic labour, with only management positions now usual</w:t>
      </w:r>
      <w:r w:rsidR="00FB2935" w:rsidRPr="000E0C38">
        <w:t xml:space="preserve">ly filled by foreign labour (44 per cent). </w:t>
      </w:r>
      <w:r w:rsidR="009876A1" w:rsidRPr="000E0C38">
        <w:t>McKinsey estimate</w:t>
      </w:r>
      <w:r w:rsidR="00BF689C" w:rsidRPr="000E0C38">
        <w:t>d</w:t>
      </w:r>
      <w:r w:rsidR="00FB2935" w:rsidRPr="000E0C38">
        <w:t xml:space="preserve"> that 85</w:t>
      </w:r>
      <w:r w:rsidR="009876A1" w:rsidRPr="000E0C38">
        <w:t xml:space="preserve"> percent of employees in Chinese owned </w:t>
      </w:r>
      <w:r w:rsidR="00FB2935" w:rsidRPr="000E0C38">
        <w:t xml:space="preserve">construction </w:t>
      </w:r>
      <w:r w:rsidR="009876A1" w:rsidRPr="000E0C38">
        <w:t>enterprises operating in Africa were African.</w:t>
      </w:r>
      <w:r w:rsidR="00FB2935" w:rsidRPr="000E0C38">
        <w:rPr>
          <w:rStyle w:val="FootnoteReference"/>
        </w:rPr>
        <w:footnoteReference w:id="118"/>
      </w:r>
      <w:r w:rsidR="00BF689C" w:rsidRPr="000E0C38">
        <w:t xml:space="preserve"> </w:t>
      </w:r>
      <w:r w:rsidRPr="000E0C38">
        <w:t>Also</w:t>
      </w:r>
      <w:r w:rsidR="009876A1" w:rsidRPr="000E0C38">
        <w:t xml:space="preserve">, nearly two-thirds of Chinese employers provided some kind of skills training. </w:t>
      </w:r>
      <w:r w:rsidRPr="000E0C38">
        <w:t>Half of</w:t>
      </w:r>
      <w:r w:rsidR="009876A1" w:rsidRPr="000E0C38">
        <w:t xml:space="preserve"> companies engaged in construction offered apprenticeship training to domestic workers to meet skills requirements.</w:t>
      </w:r>
      <w:r w:rsidR="009876A1" w:rsidRPr="000E0C38">
        <w:rPr>
          <w:vertAlign w:val="superscript"/>
        </w:rPr>
        <w:footnoteReference w:id="119"/>
      </w:r>
      <w:r w:rsidR="009876A1" w:rsidRPr="000E0C38">
        <w:t xml:space="preserve"> </w:t>
      </w:r>
      <w:r w:rsidRPr="000E0C38">
        <w:t>The p</w:t>
      </w:r>
      <w:r w:rsidR="003F368F" w:rsidRPr="000E0C38">
        <w:t xml:space="preserve">otential upsides of </w:t>
      </w:r>
      <w:r w:rsidR="009876A1" w:rsidRPr="000E0C38">
        <w:t>foreign contractor involvement (</w:t>
      </w:r>
      <w:r w:rsidR="003F368F" w:rsidRPr="000E0C38">
        <w:t>exposure to higher quality standards</w:t>
      </w:r>
      <w:r w:rsidR="009876A1" w:rsidRPr="000E0C38">
        <w:t xml:space="preserve">, training on more advanced </w:t>
      </w:r>
      <w:r w:rsidR="003F368F" w:rsidRPr="000E0C38">
        <w:t>mechanisation</w:t>
      </w:r>
      <w:r w:rsidR="009876A1" w:rsidRPr="000E0C38">
        <w:t xml:space="preserve"> techniques) may </w:t>
      </w:r>
      <w:r w:rsidR="003F368F" w:rsidRPr="000E0C38">
        <w:t>outweigh potential downsides.</w:t>
      </w:r>
    </w:p>
    <w:p w14:paraId="4772FC5C" w14:textId="77777777" w:rsidR="00FB2935" w:rsidRPr="000E0C38" w:rsidRDefault="004C6A8B" w:rsidP="00432BEF">
      <w:pPr>
        <w:pStyle w:val="BodyText"/>
        <w:spacing w:after="0" w:line="276" w:lineRule="auto"/>
        <w:jc w:val="both"/>
      </w:pPr>
      <w:r w:rsidRPr="000E0C38">
        <w:t>T</w:t>
      </w:r>
      <w:r w:rsidR="00BF689C" w:rsidRPr="000E0C38">
        <w:t xml:space="preserve">o ensure </w:t>
      </w:r>
      <w:r w:rsidR="00495CED" w:rsidRPr="000E0C38">
        <w:t>VFM</w:t>
      </w:r>
      <w:r w:rsidRPr="000E0C38">
        <w:t xml:space="preserve"> in development terms</w:t>
      </w:r>
      <w:r w:rsidR="00E95229" w:rsidRPr="000E0C38">
        <w:t xml:space="preserve">, prioritisation should be given </w:t>
      </w:r>
      <w:r w:rsidRPr="000E0C38">
        <w:t xml:space="preserve">by DFID </w:t>
      </w:r>
      <w:r w:rsidR="00E95229" w:rsidRPr="000E0C38">
        <w:t xml:space="preserve">to supporting local construction companies, focusing on </w:t>
      </w:r>
      <w:r w:rsidRPr="000E0C38">
        <w:t xml:space="preserve">improving </w:t>
      </w:r>
      <w:r w:rsidR="00E95229" w:rsidRPr="000E0C38">
        <w:t>labour standards and skills. When engaging or partnering with international contractors, DFID should promote skills transfer, local labour and supply chain content, and encourage robust and transparent labour standards.</w:t>
      </w:r>
      <w:r w:rsidR="00630E6D" w:rsidRPr="000E0C38">
        <w:t xml:space="preserve"> Efforts should also be made to promote local supply chain development to ensure that indirect jobs are also created.</w:t>
      </w:r>
    </w:p>
    <w:p w14:paraId="21483B5D" w14:textId="36A42EB7" w:rsidR="003F368F" w:rsidRPr="000E0C38" w:rsidRDefault="009E557B" w:rsidP="00991DB7">
      <w:pPr>
        <w:pStyle w:val="Heading2"/>
        <w:spacing w:before="0"/>
        <w:jc w:val="both"/>
      </w:pPr>
      <w:bookmarkStart w:id="45" w:name="_Toc498019412"/>
      <w:r w:rsidRPr="000E0C38">
        <w:t>4.</w:t>
      </w:r>
      <w:r w:rsidR="006A62B6">
        <w:t>5</w:t>
      </w:r>
      <w:r w:rsidRPr="000E0C38">
        <w:t xml:space="preserve"> </w:t>
      </w:r>
      <w:r w:rsidR="00F7284E" w:rsidRPr="000E0C38">
        <w:t>Understanding t</w:t>
      </w:r>
      <w:r w:rsidR="009011DE" w:rsidRPr="000E0C38">
        <w:t>echnology and supply chain trends</w:t>
      </w:r>
      <w:bookmarkEnd w:id="45"/>
    </w:p>
    <w:p w14:paraId="6B1A2A29" w14:textId="77777777" w:rsidR="006319FC" w:rsidRPr="000E0C38" w:rsidRDefault="002A3639" w:rsidP="00991DB7">
      <w:pPr>
        <w:pStyle w:val="BodyText"/>
        <w:spacing w:after="120" w:line="276" w:lineRule="auto"/>
        <w:jc w:val="both"/>
      </w:pPr>
      <w:r w:rsidRPr="000E0C38">
        <w:t xml:space="preserve">One </w:t>
      </w:r>
      <w:r w:rsidR="00BF689C" w:rsidRPr="000E0C38">
        <w:t xml:space="preserve">key </w:t>
      </w:r>
      <w:r w:rsidR="00495CED" w:rsidRPr="000E0C38">
        <w:t>VFM</w:t>
      </w:r>
      <w:r w:rsidRPr="000E0C38">
        <w:t xml:space="preserve"> challenge is understanding whether</w:t>
      </w:r>
      <w:r w:rsidR="009800CC" w:rsidRPr="000E0C38">
        <w:t xml:space="preserve"> ongoing</w:t>
      </w:r>
      <w:r w:rsidRPr="000E0C38">
        <w:t xml:space="preserve"> structural changes</w:t>
      </w:r>
      <w:r w:rsidR="006319FC" w:rsidRPr="000E0C38">
        <w:t xml:space="preserve"> </w:t>
      </w:r>
      <w:r w:rsidRPr="000E0C38">
        <w:t xml:space="preserve">in the construction sector </w:t>
      </w:r>
      <w:r w:rsidR="006319FC" w:rsidRPr="000E0C38">
        <w:t>(</w:t>
      </w:r>
      <w:r w:rsidR="009800CC" w:rsidRPr="000E0C38">
        <w:t xml:space="preserve">emergent </w:t>
      </w:r>
      <w:r w:rsidR="006319FC" w:rsidRPr="000E0C38">
        <w:t>technolog</w:t>
      </w:r>
      <w:r w:rsidR="009800CC" w:rsidRPr="000E0C38">
        <w:t>ies</w:t>
      </w:r>
      <w:r w:rsidR="006319FC" w:rsidRPr="000E0C38">
        <w:t>, supply chain</w:t>
      </w:r>
      <w:r w:rsidR="009800CC" w:rsidRPr="000E0C38">
        <w:t xml:space="preserve"> integration, digitisation</w:t>
      </w:r>
      <w:r w:rsidR="006319FC" w:rsidRPr="000E0C38">
        <w:t xml:space="preserve">) </w:t>
      </w:r>
      <w:r w:rsidRPr="000E0C38">
        <w:t xml:space="preserve">are </w:t>
      </w:r>
      <w:r w:rsidR="006319FC" w:rsidRPr="000E0C38">
        <w:t xml:space="preserve">likely to make </w:t>
      </w:r>
      <w:r w:rsidR="00BF689C" w:rsidRPr="000E0C38">
        <w:t xml:space="preserve">donor programmes promoting </w:t>
      </w:r>
      <w:r w:rsidR="006319FC" w:rsidRPr="000E0C38">
        <w:t xml:space="preserve">labour-intensive </w:t>
      </w:r>
      <w:r w:rsidR="00BF689C" w:rsidRPr="000E0C38">
        <w:t>interventions</w:t>
      </w:r>
      <w:r w:rsidRPr="000E0C38">
        <w:t xml:space="preserve"> less attractive, </w:t>
      </w:r>
      <w:r w:rsidR="006319FC" w:rsidRPr="000E0C38">
        <w:t>and</w:t>
      </w:r>
      <w:r w:rsidR="00BF689C" w:rsidRPr="000E0C38">
        <w:t xml:space="preserve"> </w:t>
      </w:r>
      <w:r w:rsidR="006319FC" w:rsidRPr="000E0C38">
        <w:t>/</w:t>
      </w:r>
      <w:r w:rsidR="00BF689C" w:rsidRPr="000E0C38">
        <w:t xml:space="preserve"> </w:t>
      </w:r>
      <w:r w:rsidRPr="000E0C38">
        <w:t xml:space="preserve">or whether </w:t>
      </w:r>
      <w:r w:rsidR="006319FC" w:rsidRPr="000E0C38">
        <w:t>these trends will change the nature of support that should be provided</w:t>
      </w:r>
      <w:r w:rsidR="00BF689C" w:rsidRPr="000E0C38">
        <w:t>.</w:t>
      </w:r>
    </w:p>
    <w:p w14:paraId="65D05CC1" w14:textId="77777777" w:rsidR="003F368F" w:rsidRPr="000E0C38" w:rsidRDefault="006319FC" w:rsidP="00991DB7">
      <w:pPr>
        <w:pStyle w:val="BodyText"/>
        <w:spacing w:after="120" w:line="276" w:lineRule="auto"/>
        <w:jc w:val="both"/>
      </w:pPr>
      <w:r w:rsidRPr="000E0C38">
        <w:t>At a high level, t</w:t>
      </w:r>
      <w:r w:rsidR="003F368F" w:rsidRPr="000E0C38">
        <w:t xml:space="preserve">here has been a long-standing </w:t>
      </w:r>
      <w:r w:rsidR="00C64CFA" w:rsidRPr="000E0C38">
        <w:t>d</w:t>
      </w:r>
      <w:r w:rsidR="009876A1" w:rsidRPr="000E0C38">
        <w:t>ebate</w:t>
      </w:r>
      <w:r w:rsidR="003F368F" w:rsidRPr="000E0C38">
        <w:t xml:space="preserve"> </w:t>
      </w:r>
      <w:r w:rsidR="007B7276" w:rsidRPr="000E0C38">
        <w:t xml:space="preserve">between </w:t>
      </w:r>
      <w:r w:rsidR="003F368F" w:rsidRPr="000E0C38">
        <w:t>labour market economists of the relative benefits associated with increasing the labour intensity of construction (i.e. more jobs) v</w:t>
      </w:r>
      <w:r w:rsidR="00BF689C" w:rsidRPr="000E0C38">
        <w:t>ersu</w:t>
      </w:r>
      <w:r w:rsidR="003F368F" w:rsidRPr="000E0C38">
        <w:t>s improving the economic efficiency of the sector (i.e. greater levels of mechanisation, pre-fabrication</w:t>
      </w:r>
      <w:r w:rsidR="00BF689C" w:rsidRPr="000E0C38">
        <w:t>,</w:t>
      </w:r>
      <w:r w:rsidR="003F368F" w:rsidRPr="000E0C38">
        <w:t xml:space="preserve"> etc</w:t>
      </w:r>
      <w:r w:rsidR="00BF689C" w:rsidRPr="000E0C38">
        <w:t xml:space="preserve">.). </w:t>
      </w:r>
      <w:r w:rsidR="003F368F" w:rsidRPr="000E0C38">
        <w:t xml:space="preserve">The evidence is that more efficient and developed </w:t>
      </w:r>
      <w:r w:rsidR="007B7276" w:rsidRPr="000E0C38">
        <w:t>construction sectors</w:t>
      </w:r>
      <w:r w:rsidR="003F368F" w:rsidRPr="000E0C38">
        <w:t xml:space="preserve"> in wealthier countries have lower levels of labour input, and higher levels of </w:t>
      </w:r>
      <w:r w:rsidR="009876A1" w:rsidRPr="000E0C38">
        <w:t xml:space="preserve">economic </w:t>
      </w:r>
      <w:r w:rsidR="003F368F" w:rsidRPr="000E0C38">
        <w:t>output than their de</w:t>
      </w:r>
      <w:r w:rsidR="00BF689C" w:rsidRPr="000E0C38">
        <w:t xml:space="preserve">veloping country counterparts. </w:t>
      </w:r>
      <w:r w:rsidR="003F368F" w:rsidRPr="000E0C38">
        <w:t xml:space="preserve">This raises the question of whether construction industry should be seeking to reduce labour intensity from an economic development perspective, rather than </w:t>
      </w:r>
      <w:r w:rsidR="00EF0B69" w:rsidRPr="000E0C38">
        <w:t xml:space="preserve">using the sector for </w:t>
      </w:r>
      <w:r w:rsidR="003F368F" w:rsidRPr="000E0C38">
        <w:t xml:space="preserve">welfare and job creation </w:t>
      </w:r>
      <w:r w:rsidR="00EF0B69" w:rsidRPr="000E0C38">
        <w:t>purposes</w:t>
      </w:r>
      <w:r w:rsidR="003F368F" w:rsidRPr="000E0C38">
        <w:t>.</w:t>
      </w:r>
    </w:p>
    <w:p w14:paraId="05834DAE" w14:textId="77777777" w:rsidR="003F368F" w:rsidRPr="000E0C38" w:rsidRDefault="003F368F" w:rsidP="00991DB7">
      <w:pPr>
        <w:pStyle w:val="BodyText"/>
        <w:spacing w:after="120" w:line="276" w:lineRule="auto"/>
        <w:jc w:val="both"/>
      </w:pPr>
      <w:r w:rsidRPr="000E0C38">
        <w:t>A report by the ILO (2015) examined this trend.</w:t>
      </w:r>
      <w:r w:rsidRPr="000E0C38">
        <w:rPr>
          <w:vertAlign w:val="superscript"/>
        </w:rPr>
        <w:footnoteReference w:id="120"/>
      </w:r>
      <w:r w:rsidR="00BF689C" w:rsidRPr="000E0C38">
        <w:t xml:space="preserve"> </w:t>
      </w:r>
      <w:r w:rsidR="00EF0B69" w:rsidRPr="000E0C38">
        <w:t>It recognised that off-sit</w:t>
      </w:r>
      <w:r w:rsidRPr="000E0C38">
        <w:t>e construction is increasingly used to increase productivity, control costs, improve quality and efficiency</w:t>
      </w:r>
      <w:r w:rsidR="00BF689C" w:rsidRPr="000E0C38">
        <w:t>,</w:t>
      </w:r>
      <w:r w:rsidRPr="000E0C38">
        <w:t xml:space="preserve"> as well as</w:t>
      </w:r>
      <w:r w:rsidR="00EF0B69" w:rsidRPr="000E0C38">
        <w:t xml:space="preserve"> expand export </w:t>
      </w:r>
      <w:r w:rsidR="00BF689C" w:rsidRPr="000E0C38">
        <w:t xml:space="preserve">operations. </w:t>
      </w:r>
      <w:r w:rsidR="00EF0B69" w:rsidRPr="000E0C38">
        <w:t xml:space="preserve">These trends are </w:t>
      </w:r>
      <w:r w:rsidRPr="000E0C38">
        <w:t>more prevalent in developed markets (</w:t>
      </w:r>
      <w:r w:rsidR="00915D9A" w:rsidRPr="000E0C38">
        <w:t>e.g. OECD</w:t>
      </w:r>
      <w:r w:rsidRPr="000E0C38">
        <w:t>)</w:t>
      </w:r>
      <w:r w:rsidR="00EF0B69" w:rsidRPr="000E0C38">
        <w:t xml:space="preserve"> but are increasingly appearing in </w:t>
      </w:r>
      <w:r w:rsidR="00BF689C" w:rsidRPr="000E0C38">
        <w:t>MICs</w:t>
      </w:r>
      <w:r w:rsidRPr="000E0C38">
        <w:t xml:space="preserve">. </w:t>
      </w:r>
      <w:r w:rsidRPr="000E0C38">
        <w:lastRenderedPageBreak/>
        <w:t>It is likely that this trend will continue as the construction industry becomes more vertically integrated with the upstream manufacturing industry.</w:t>
      </w:r>
    </w:p>
    <w:p w14:paraId="1947BF77" w14:textId="77777777" w:rsidR="00182DED" w:rsidRPr="000E0C38" w:rsidRDefault="003F368F" w:rsidP="00991DB7">
      <w:pPr>
        <w:pStyle w:val="BodyText"/>
        <w:spacing w:after="120" w:line="276" w:lineRule="auto"/>
        <w:jc w:val="both"/>
      </w:pPr>
      <w:r w:rsidRPr="000E0C38">
        <w:t xml:space="preserve">Off-site construction may also create employment opportunities in developing countries in the future, especially in housing delivery. However, </w:t>
      </w:r>
      <w:r w:rsidR="00EF0B69" w:rsidRPr="000E0C38">
        <w:t xml:space="preserve">there may be initial barriers, including </w:t>
      </w:r>
      <w:r w:rsidRPr="000E0C38">
        <w:t xml:space="preserve">regulations and incentives, and high initial </w:t>
      </w:r>
      <w:r w:rsidR="00EF0B69" w:rsidRPr="000E0C38">
        <w:t>set up costs for manufacturing</w:t>
      </w:r>
      <w:r w:rsidR="00BF689C" w:rsidRPr="000E0C38">
        <w:t xml:space="preserve">. </w:t>
      </w:r>
      <w:r w:rsidRPr="000E0C38">
        <w:t>Increased off-site production will involve the creation of new skilled jobs</w:t>
      </w:r>
      <w:r w:rsidR="00EF0B69" w:rsidRPr="000E0C38">
        <w:t xml:space="preserve"> upstream</w:t>
      </w:r>
      <w:r w:rsidRPr="000E0C38">
        <w:t xml:space="preserve"> in manufacturing plants, </w:t>
      </w:r>
      <w:r w:rsidR="00EF0B69" w:rsidRPr="000E0C38">
        <w:t>as jobs are potentially displaced downstream in manual labour and skilled craft jobs o</w:t>
      </w:r>
      <w:r w:rsidR="00BF689C" w:rsidRPr="000E0C38">
        <w:t>n construction sites.</w:t>
      </w:r>
    </w:p>
    <w:p w14:paraId="7088F4FF" w14:textId="77777777" w:rsidR="004A2AC5" w:rsidRPr="000E0C38" w:rsidRDefault="00EF0B69" w:rsidP="00991DB7">
      <w:pPr>
        <w:pStyle w:val="BodyText"/>
        <w:spacing w:after="120" w:line="276" w:lineRule="auto"/>
        <w:jc w:val="both"/>
      </w:pPr>
      <w:r w:rsidRPr="000E0C38">
        <w:t>For example, according to the South African Construction Industry Development Board (CIDB) a brickwork house may generate up to 3.5 times more person-hours of employment than an equivalent prefabricated concrete house.</w:t>
      </w:r>
      <w:r w:rsidR="00BF689C" w:rsidRPr="000E0C38">
        <w:t xml:space="preserve"> </w:t>
      </w:r>
      <w:r w:rsidRPr="000E0C38">
        <w:t xml:space="preserve">It is not yet clear what the net effect </w:t>
      </w:r>
      <w:r w:rsidR="00BF689C" w:rsidRPr="000E0C38">
        <w:t xml:space="preserve">in overall employment will be. </w:t>
      </w:r>
      <w:r w:rsidRPr="000E0C38">
        <w:t xml:space="preserve">However, </w:t>
      </w:r>
      <w:r w:rsidR="004C6F55" w:rsidRPr="000E0C38">
        <w:t>it is likely that this</w:t>
      </w:r>
      <w:r w:rsidRPr="000E0C38">
        <w:t xml:space="preserve"> shift will see the construction sector become increasingly integrated with manufacturing.</w:t>
      </w:r>
    </w:p>
    <w:p w14:paraId="512BC063" w14:textId="77777777" w:rsidR="003F368F" w:rsidRPr="000E0C38" w:rsidRDefault="003A59AE" w:rsidP="00991DB7">
      <w:pPr>
        <w:pStyle w:val="BodyText"/>
        <w:spacing w:after="120" w:line="276" w:lineRule="auto"/>
        <w:jc w:val="both"/>
      </w:pPr>
      <w:r w:rsidRPr="000E0C38">
        <w:t xml:space="preserve">The World Economic Forum, for example is promoting mechanisation and automation within the construction sector, although </w:t>
      </w:r>
      <w:r w:rsidR="004C6F55" w:rsidRPr="000E0C38">
        <w:t>this is currently targeting higher income countries only.</w:t>
      </w:r>
      <w:r w:rsidR="002A37DB" w:rsidRPr="000E0C38">
        <w:t xml:space="preserve"> </w:t>
      </w:r>
      <w:r w:rsidR="004A2AC5" w:rsidRPr="000E0C38">
        <w:t>Digital transformation within the construction supply chain also offers opportunity for higher skilled job opportunities.</w:t>
      </w:r>
    </w:p>
    <w:p w14:paraId="16808995" w14:textId="05AA753A" w:rsidR="003F368F" w:rsidRPr="000E0C38" w:rsidRDefault="00EB3AFC" w:rsidP="00EB3AFC">
      <w:pPr>
        <w:pStyle w:val="Heading2"/>
        <w:spacing w:before="0"/>
      </w:pPr>
      <w:bookmarkStart w:id="46" w:name="_Toc498019413"/>
      <w:r w:rsidRPr="000E0C38">
        <w:t>4.</w:t>
      </w:r>
      <w:r w:rsidR="006A62B6">
        <w:t>6</w:t>
      </w:r>
      <w:r w:rsidRPr="000E0C38">
        <w:t xml:space="preserve"> </w:t>
      </w:r>
      <w:r w:rsidR="00B01752" w:rsidRPr="000E0C38">
        <w:t xml:space="preserve">Conclusion: </w:t>
      </w:r>
      <w:r w:rsidR="00915D9A" w:rsidRPr="000E0C38">
        <w:t xml:space="preserve">DFID </w:t>
      </w:r>
      <w:r w:rsidR="00495CED" w:rsidRPr="000E0C38">
        <w:t>VfM</w:t>
      </w:r>
      <w:r w:rsidR="00BF2BD8" w:rsidRPr="000E0C38">
        <w:t xml:space="preserve"> </w:t>
      </w:r>
      <w:r w:rsidR="00EE2FED" w:rsidRPr="000E0C38">
        <w:t>Programming Guidelines</w:t>
      </w:r>
      <w:bookmarkEnd w:id="46"/>
    </w:p>
    <w:p w14:paraId="5C2AD705" w14:textId="59C87BF9" w:rsidR="003F368F" w:rsidRPr="000E0C38" w:rsidRDefault="003F368F" w:rsidP="00991DB7">
      <w:pPr>
        <w:pStyle w:val="BodyText"/>
        <w:spacing w:after="120" w:line="276" w:lineRule="auto"/>
        <w:jc w:val="both"/>
      </w:pPr>
      <w:r w:rsidRPr="000E0C38">
        <w:t xml:space="preserve">This section presents </w:t>
      </w:r>
      <w:r w:rsidR="00716DC4" w:rsidRPr="000E0C38">
        <w:t xml:space="preserve">conclusions on whether investment in increasing the number and improving the quality of construction jobs represents value for money for </w:t>
      </w:r>
      <w:r w:rsidR="007F3CC6">
        <w:t>UK aid.</w:t>
      </w:r>
      <w:r w:rsidR="00060F17" w:rsidRPr="000E0C38">
        <w:t xml:space="preserve"> It also presents </w:t>
      </w:r>
      <w:r w:rsidRPr="000E0C38">
        <w:t xml:space="preserve">a </w:t>
      </w:r>
      <w:r w:rsidR="00EE2FED" w:rsidRPr="000E0C38">
        <w:t xml:space="preserve">set of </w:t>
      </w:r>
      <w:r w:rsidRPr="000E0C38">
        <w:t xml:space="preserve">high-level </w:t>
      </w:r>
      <w:r w:rsidR="00495CED" w:rsidRPr="000E0C38">
        <w:t>VfM</w:t>
      </w:r>
      <w:r w:rsidRPr="000E0C38">
        <w:t xml:space="preserve"> </w:t>
      </w:r>
      <w:r w:rsidR="00EE2FED" w:rsidRPr="000E0C38">
        <w:t>programming guidelines</w:t>
      </w:r>
      <w:r w:rsidRPr="000E0C38">
        <w:t xml:space="preserve"> </w:t>
      </w:r>
      <w:r w:rsidR="0038223F" w:rsidRPr="000E0C38">
        <w:t xml:space="preserve">setting out </w:t>
      </w:r>
      <w:r w:rsidR="00BF2BD8" w:rsidRPr="000E0C38">
        <w:t xml:space="preserve">some of the considerations </w:t>
      </w:r>
      <w:r w:rsidR="00EB3AFC" w:rsidRPr="000E0C38">
        <w:t>for</w:t>
      </w:r>
      <w:r w:rsidR="002448FB" w:rsidRPr="000E0C38">
        <w:t xml:space="preserve"> engagement with the </w:t>
      </w:r>
      <w:r w:rsidR="0038223F" w:rsidRPr="000E0C38">
        <w:t xml:space="preserve">construction </w:t>
      </w:r>
      <w:r w:rsidRPr="000E0C38">
        <w:t>sector</w:t>
      </w:r>
      <w:r w:rsidR="002448FB" w:rsidRPr="000E0C38">
        <w:t>.</w:t>
      </w:r>
    </w:p>
    <w:p w14:paraId="715BF97E" w14:textId="24A0AB21" w:rsidR="00541DEE" w:rsidRPr="000E0C38" w:rsidRDefault="00060F17" w:rsidP="00541DEE">
      <w:pPr>
        <w:pStyle w:val="BodyText"/>
        <w:spacing w:after="120" w:line="276" w:lineRule="auto"/>
        <w:jc w:val="both"/>
      </w:pPr>
      <w:r w:rsidRPr="000E0C38">
        <w:t xml:space="preserve">Overall, </w:t>
      </w:r>
      <w:r w:rsidR="004954A7" w:rsidRPr="000E0C38">
        <w:t>the report</w:t>
      </w:r>
      <w:r w:rsidRPr="000E0C38">
        <w:t xml:space="preserve"> conclude</w:t>
      </w:r>
      <w:r w:rsidR="004954A7" w:rsidRPr="000E0C38">
        <w:t>s</w:t>
      </w:r>
      <w:r w:rsidRPr="000E0C38">
        <w:t xml:space="preserve"> that intervening in the construction sector (both to increase the number and quality of construction sector jobs) is likely to provide value for money for UK Aid, </w:t>
      </w:r>
      <w:r w:rsidR="004954A7" w:rsidRPr="000E0C38">
        <w:t>but that this value is dependent on</w:t>
      </w:r>
      <w:r w:rsidR="00604C1F" w:rsidRPr="000E0C38">
        <w:t xml:space="preserve"> addressing challenges in their </w:t>
      </w:r>
      <w:r w:rsidR="004954A7" w:rsidRPr="000E0C38">
        <w:t xml:space="preserve">local context and </w:t>
      </w:r>
      <w:r w:rsidR="00604C1F" w:rsidRPr="000E0C38">
        <w:t xml:space="preserve">ensuring </w:t>
      </w:r>
      <w:r w:rsidR="004954A7" w:rsidRPr="000E0C38">
        <w:t>effective programme design</w:t>
      </w:r>
      <w:r w:rsidR="007F3CC6">
        <w:t xml:space="preserve">. </w:t>
      </w:r>
      <w:r w:rsidRPr="000E0C38">
        <w:t xml:space="preserve">Key findings are </w:t>
      </w:r>
      <w:r w:rsidR="007F3CC6">
        <w:t>discussed below.</w:t>
      </w:r>
    </w:p>
    <w:p w14:paraId="7E3CD32A" w14:textId="13375993" w:rsidR="00541DEE" w:rsidRPr="000E0C38" w:rsidRDefault="00060F17" w:rsidP="00541DEE">
      <w:pPr>
        <w:pStyle w:val="BodyText"/>
        <w:spacing w:after="120" w:line="276" w:lineRule="auto"/>
        <w:jc w:val="both"/>
      </w:pPr>
      <w:r w:rsidRPr="000E0C38">
        <w:t>Investing in the construction sector can provide significant benefits in terms of economic and employment effects, and potentially greater than th</w:t>
      </w:r>
      <w:r w:rsidR="007F3CC6">
        <w:t>ose available in other sectors.</w:t>
      </w:r>
      <w:r w:rsidRPr="000E0C38">
        <w:t xml:space="preserve"> A recent </w:t>
      </w:r>
      <w:r w:rsidR="00541DEE" w:rsidRPr="000E0C38">
        <w:t xml:space="preserve">ILO </w:t>
      </w:r>
      <w:r w:rsidRPr="000E0C38">
        <w:t>study estimated total economic multipliers in high- and middle-income countries to be in excess of 3:1, based on direct, indirect and induce</w:t>
      </w:r>
      <w:r w:rsidR="007F3CC6">
        <w:t>d economic outputs (ILO 2015e).</w:t>
      </w:r>
      <w:r w:rsidRPr="000E0C38">
        <w:t xml:space="preserve"> In the same study, employment creation was estimated at 158 jobs per million US dollars invested in a sam</w:t>
      </w:r>
      <w:r w:rsidR="007F3CC6">
        <w:t>ple of middle income countries.</w:t>
      </w:r>
      <w:r w:rsidRPr="000E0C38">
        <w:t xml:space="preserve"> </w:t>
      </w:r>
      <w:r w:rsidR="00541DEE" w:rsidRPr="000E0C38">
        <w:t>Several studies indicate that the economic and employment effects are likely to be marginally higher for the construction sector than across the wider economy.</w:t>
      </w:r>
    </w:p>
    <w:p w14:paraId="2F0A3389" w14:textId="45D75C93" w:rsidR="00541DEE" w:rsidRPr="000E0C38" w:rsidRDefault="00604C1F" w:rsidP="00541DEE">
      <w:pPr>
        <w:pStyle w:val="BodyText"/>
        <w:spacing w:after="120" w:line="276" w:lineRule="auto"/>
        <w:jc w:val="both"/>
      </w:pPr>
      <w:r w:rsidRPr="000E0C38">
        <w:t>While direct</w:t>
      </w:r>
      <w:r w:rsidR="00060F17" w:rsidRPr="000E0C38">
        <w:t xml:space="preserve"> value creation derives from the </w:t>
      </w:r>
      <w:r w:rsidRPr="000E0C38">
        <w:t>development</w:t>
      </w:r>
      <w:r w:rsidR="00060F17" w:rsidRPr="000E0C38">
        <w:t>, renovation, repair or extension of fixed assets (buildings, land improvements, engineering assets)</w:t>
      </w:r>
      <w:r w:rsidRPr="000E0C38">
        <w:t>, t</w:t>
      </w:r>
      <w:r w:rsidR="00060F17" w:rsidRPr="000E0C38">
        <w:t>he construction sector also has significant backward and forward linkages.  Supply chain benefits can include the development of input industries, including cement, steel, paints and chemicals, glass, timber and machinery, alongside construction services, planning and design, finance, enforcement. The construction sector also has forward linkages, underpinning economic development in other sectors such as retail, services, commercial, health and education</w:t>
      </w:r>
      <w:r w:rsidR="009D7DBA" w:rsidRPr="000E0C38">
        <w:t>.</w:t>
      </w:r>
    </w:p>
    <w:p w14:paraId="02F9E3AA" w14:textId="022E8B06" w:rsidR="00060F17" w:rsidRPr="000E0C38" w:rsidRDefault="00060F17" w:rsidP="000E0C38">
      <w:pPr>
        <w:pStyle w:val="BodyText"/>
        <w:spacing w:after="120" w:line="276" w:lineRule="auto"/>
        <w:jc w:val="both"/>
      </w:pPr>
      <w:r w:rsidRPr="000E0C38">
        <w:t>Within the construction sector, there are also potentially significant economic benefits associated with construction employment reform (addressing informality, health and safety standards, female and child participation, issues around capaci</w:t>
      </w:r>
      <w:r w:rsidR="007F3CC6">
        <w:t xml:space="preserve">ty and collective bargaining). </w:t>
      </w:r>
      <w:r w:rsidRPr="000E0C38">
        <w:t>These can hinder effective sector development and impose high social welfare costs on governments and wider society.  Addressing them can also improve the economic efficien</w:t>
      </w:r>
      <w:r w:rsidR="007F3CC6">
        <w:t>cy of the delivery model itself.</w:t>
      </w:r>
    </w:p>
    <w:p w14:paraId="7287B600" w14:textId="16AE5D6C" w:rsidR="0038223F" w:rsidRPr="000E0C38" w:rsidRDefault="0038223F" w:rsidP="00991DB7">
      <w:pPr>
        <w:pStyle w:val="BodyText"/>
        <w:spacing w:after="120" w:line="276" w:lineRule="auto"/>
        <w:jc w:val="both"/>
      </w:pPr>
      <w:r w:rsidRPr="000E0C38">
        <w:t>At the highest level, the decision to invest in improving construction sector labour standards and markets should be based on an assessment of the opportunity costs of not addressing issues in other sectors.</w:t>
      </w:r>
      <w:r w:rsidRPr="000E0C38">
        <w:rPr>
          <w:rStyle w:val="FootnoteReference"/>
        </w:rPr>
        <w:footnoteReference w:id="121"/>
      </w:r>
      <w:r w:rsidR="00EB3AFC" w:rsidRPr="000E0C38">
        <w:t xml:space="preserve"> </w:t>
      </w:r>
      <w:r w:rsidRPr="000E0C38">
        <w:t>While it is beyond the scope of this report to make a cross sector comparison, it is nonethele</w:t>
      </w:r>
      <w:r w:rsidR="00EB3AFC" w:rsidRPr="000E0C38">
        <w:t xml:space="preserve">ss important to understand </w:t>
      </w:r>
      <w:r w:rsidRPr="000E0C38">
        <w:t xml:space="preserve">the necessary pre-conditions that might determine whether to engage in the </w:t>
      </w:r>
      <w:r w:rsidR="0099494D" w:rsidRPr="000E0C38">
        <w:t>construction sector</w:t>
      </w:r>
      <w:r w:rsidR="000D2893" w:rsidRPr="000E0C38">
        <w:t>, and what the</w:t>
      </w:r>
      <w:r w:rsidRPr="000E0C38">
        <w:t xml:space="preserve"> scope and scale of any</w:t>
      </w:r>
      <w:r w:rsidR="0099494D" w:rsidRPr="000E0C38">
        <w:t xml:space="preserve"> downstream</w:t>
      </w:r>
      <w:r w:rsidRPr="000E0C38">
        <w:t xml:space="preserve"> intervention</w:t>
      </w:r>
      <w:r w:rsidR="000D2893" w:rsidRPr="000E0C38">
        <w:t xml:space="preserve"> might be</w:t>
      </w:r>
      <w:r w:rsidR="00EB3AFC" w:rsidRPr="000E0C38">
        <w:t xml:space="preserve">. </w:t>
      </w:r>
    </w:p>
    <w:p w14:paraId="0CD5D7EB" w14:textId="3A42C87C" w:rsidR="009D7DBA" w:rsidRPr="000E0C38" w:rsidRDefault="009D7DBA" w:rsidP="00991DB7">
      <w:pPr>
        <w:pStyle w:val="BodyText"/>
        <w:spacing w:after="120" w:line="276" w:lineRule="auto"/>
        <w:jc w:val="both"/>
      </w:pPr>
      <w:r w:rsidRPr="000E0C38">
        <w:lastRenderedPageBreak/>
        <w:t xml:space="preserve">A number of </w:t>
      </w:r>
      <w:r w:rsidR="003A02DF" w:rsidRPr="000E0C38">
        <w:t xml:space="preserve">cross cutting </w:t>
      </w:r>
      <w:r w:rsidRPr="000E0C38">
        <w:t>opportunities exist for DFID to improve standards. These include</w:t>
      </w:r>
      <w:r w:rsidR="003A02DF" w:rsidRPr="000E0C38">
        <w:t>:</w:t>
      </w:r>
    </w:p>
    <w:p w14:paraId="7DA5523F" w14:textId="2F120521" w:rsidR="009D7DBA" w:rsidRPr="000E0C38" w:rsidRDefault="00BD0976" w:rsidP="00452E90">
      <w:pPr>
        <w:pStyle w:val="BodyText"/>
        <w:numPr>
          <w:ilvl w:val="0"/>
          <w:numId w:val="31"/>
        </w:numPr>
        <w:spacing w:after="0" w:line="276" w:lineRule="auto"/>
        <w:ind w:left="714" w:hanging="357"/>
        <w:jc w:val="both"/>
      </w:pPr>
      <w:r w:rsidRPr="000E0C38">
        <w:t>S</w:t>
      </w:r>
      <w:r w:rsidR="009D7DBA" w:rsidRPr="000E0C38">
        <w:t xml:space="preserve">upporting the licensing of intermediaries and </w:t>
      </w:r>
      <w:proofErr w:type="spellStart"/>
      <w:r w:rsidR="009D7DBA" w:rsidRPr="000E0C38">
        <w:t>gangmasters</w:t>
      </w:r>
      <w:proofErr w:type="spellEnd"/>
      <w:r w:rsidR="003A02DF" w:rsidRPr="000E0C38">
        <w:t>;</w:t>
      </w:r>
    </w:p>
    <w:p w14:paraId="14912518" w14:textId="615B92C9" w:rsidR="009D7DBA" w:rsidRPr="000E0C38" w:rsidRDefault="00BD0976" w:rsidP="00452E90">
      <w:pPr>
        <w:pStyle w:val="BodyText"/>
        <w:numPr>
          <w:ilvl w:val="0"/>
          <w:numId w:val="31"/>
        </w:numPr>
        <w:spacing w:after="0" w:line="276" w:lineRule="auto"/>
        <w:ind w:left="714" w:hanging="357"/>
        <w:jc w:val="both"/>
      </w:pPr>
      <w:r w:rsidRPr="000E0C38">
        <w:t>W</w:t>
      </w:r>
      <w:r w:rsidR="009D7DBA" w:rsidRPr="000E0C38">
        <w:t>orking with IFIs to promote and test labour safeguards on key infrastructure projects;</w:t>
      </w:r>
    </w:p>
    <w:p w14:paraId="520874BA" w14:textId="111B1405" w:rsidR="009D7DBA" w:rsidRPr="000E0C38" w:rsidRDefault="00BD0976" w:rsidP="00452E90">
      <w:pPr>
        <w:pStyle w:val="BodyText"/>
        <w:numPr>
          <w:ilvl w:val="0"/>
          <w:numId w:val="31"/>
        </w:numPr>
        <w:spacing w:after="0" w:line="276" w:lineRule="auto"/>
        <w:ind w:left="714" w:hanging="357"/>
        <w:jc w:val="both"/>
      </w:pPr>
      <w:r w:rsidRPr="000E0C38">
        <w:t>S</w:t>
      </w:r>
      <w:r w:rsidR="009D7DBA" w:rsidRPr="000E0C38">
        <w:t>upport</w:t>
      </w:r>
      <w:r w:rsidRPr="000E0C38">
        <w:t>ing</w:t>
      </w:r>
      <w:r w:rsidR="009D7DBA" w:rsidRPr="000E0C38">
        <w:t xml:space="preserve"> the update of labour laws and standards;</w:t>
      </w:r>
    </w:p>
    <w:p w14:paraId="53E86702" w14:textId="4846F092" w:rsidR="009D7DBA" w:rsidRPr="000E0C38" w:rsidRDefault="00BD0976" w:rsidP="00452E90">
      <w:pPr>
        <w:pStyle w:val="BodyText"/>
        <w:numPr>
          <w:ilvl w:val="0"/>
          <w:numId w:val="31"/>
        </w:numPr>
        <w:spacing w:after="0" w:line="276" w:lineRule="auto"/>
        <w:ind w:left="714" w:hanging="357"/>
        <w:jc w:val="both"/>
      </w:pPr>
      <w:r w:rsidRPr="000E0C38">
        <w:t>I</w:t>
      </w:r>
      <w:r w:rsidR="009D7DBA" w:rsidRPr="000E0C38">
        <w:t>mprov</w:t>
      </w:r>
      <w:r w:rsidRPr="000E0C38">
        <w:t>ing</w:t>
      </w:r>
      <w:r w:rsidR="009D7DBA" w:rsidRPr="000E0C38">
        <w:t xml:space="preserve"> enforcement and inspection regimes; and</w:t>
      </w:r>
    </w:p>
    <w:p w14:paraId="6F62ABF1" w14:textId="6487E854" w:rsidR="009D7DBA" w:rsidRPr="000E0C38" w:rsidRDefault="00BD0976" w:rsidP="000E0C38">
      <w:pPr>
        <w:pStyle w:val="BodyText"/>
        <w:numPr>
          <w:ilvl w:val="0"/>
          <w:numId w:val="31"/>
        </w:numPr>
        <w:spacing w:after="120" w:line="276" w:lineRule="auto"/>
        <w:jc w:val="both"/>
      </w:pPr>
      <w:r w:rsidRPr="000E0C38">
        <w:t>S</w:t>
      </w:r>
      <w:r w:rsidR="009D7DBA" w:rsidRPr="000E0C38">
        <w:t>upport</w:t>
      </w:r>
      <w:r w:rsidRPr="000E0C38">
        <w:t>ing</w:t>
      </w:r>
      <w:r w:rsidR="009D7DBA" w:rsidRPr="000E0C38">
        <w:t xml:space="preserve"> education within the sector.</w:t>
      </w:r>
    </w:p>
    <w:p w14:paraId="5B5E2060" w14:textId="48C7396A" w:rsidR="0034669F" w:rsidRPr="000E0C38" w:rsidRDefault="009D7DBA" w:rsidP="008F4768">
      <w:pPr>
        <w:pStyle w:val="BodyText"/>
        <w:spacing w:after="120" w:line="276" w:lineRule="auto"/>
      </w:pPr>
      <w:r w:rsidRPr="000E0C38">
        <w:t xml:space="preserve">Ultimately, the decision to support construction labour reform will depend on a strong understanding of the economic, regulatory, and commercial environment and upon </w:t>
      </w:r>
      <w:r w:rsidR="007F3CC6">
        <w:t xml:space="preserve">a </w:t>
      </w:r>
      <w:r w:rsidRPr="000E0C38">
        <w:t xml:space="preserve">robust approach to design. </w:t>
      </w:r>
      <w:r w:rsidR="00ED59EF" w:rsidRPr="000E0C38">
        <w:t>Table 5</w:t>
      </w:r>
      <w:r w:rsidR="00EB3AFC" w:rsidRPr="000E0C38">
        <w:t xml:space="preserve"> </w:t>
      </w:r>
      <w:r w:rsidR="0034669F" w:rsidRPr="000E0C38">
        <w:t>provides an overvie</w:t>
      </w:r>
      <w:r w:rsidR="00EB3AFC" w:rsidRPr="000E0C38">
        <w:t>w of key lessons and principles.</w:t>
      </w:r>
    </w:p>
    <w:p w14:paraId="450CDED0" w14:textId="724E1BED" w:rsidR="00EB3AFC" w:rsidRPr="000E0C38" w:rsidRDefault="00EB3AFC" w:rsidP="00EB3AFC">
      <w:pPr>
        <w:pStyle w:val="Caption"/>
        <w:keepNext/>
        <w:spacing w:after="120"/>
        <w:rPr>
          <w:b/>
          <w:i w:val="0"/>
          <w:sz w:val="20"/>
        </w:rPr>
      </w:pPr>
      <w:bookmarkStart w:id="47" w:name="_Ref494107811"/>
      <w:r w:rsidRPr="000E0C38">
        <w:rPr>
          <w:b/>
          <w:i w:val="0"/>
          <w:sz w:val="20"/>
        </w:rPr>
        <w:t xml:space="preserve">Table </w:t>
      </w:r>
      <w:r w:rsidR="00226ED7" w:rsidRPr="000E0C38">
        <w:rPr>
          <w:b/>
          <w:i w:val="0"/>
          <w:sz w:val="20"/>
        </w:rPr>
        <w:fldChar w:fldCharType="begin"/>
      </w:r>
      <w:r w:rsidRPr="000E0C38">
        <w:rPr>
          <w:b/>
          <w:i w:val="0"/>
          <w:sz w:val="20"/>
        </w:rPr>
        <w:instrText xml:space="preserve"> SEQ Table \* ARABIC </w:instrText>
      </w:r>
      <w:r w:rsidR="00226ED7" w:rsidRPr="000E0C38">
        <w:rPr>
          <w:b/>
          <w:i w:val="0"/>
          <w:sz w:val="20"/>
        </w:rPr>
        <w:fldChar w:fldCharType="separate"/>
      </w:r>
      <w:r w:rsidR="001A6968" w:rsidRPr="000E0C38">
        <w:rPr>
          <w:b/>
          <w:i w:val="0"/>
          <w:sz w:val="20"/>
        </w:rPr>
        <w:t>5</w:t>
      </w:r>
      <w:r w:rsidR="00226ED7" w:rsidRPr="000E0C38">
        <w:rPr>
          <w:b/>
          <w:i w:val="0"/>
          <w:sz w:val="20"/>
        </w:rPr>
        <w:fldChar w:fldCharType="end"/>
      </w:r>
      <w:bookmarkEnd w:id="47"/>
      <w:r w:rsidRPr="000E0C38">
        <w:rPr>
          <w:b/>
          <w:i w:val="0"/>
          <w:sz w:val="20"/>
        </w:rPr>
        <w:t xml:space="preserve">: </w:t>
      </w:r>
      <w:r w:rsidR="00495CED" w:rsidRPr="000E0C38">
        <w:rPr>
          <w:b/>
          <w:i w:val="0"/>
          <w:iCs/>
          <w:sz w:val="20"/>
        </w:rPr>
        <w:t>VfM</w:t>
      </w:r>
      <w:r w:rsidRPr="000E0C38">
        <w:rPr>
          <w:b/>
          <w:i w:val="0"/>
          <w:iCs/>
          <w:sz w:val="20"/>
        </w:rPr>
        <w:t xml:space="preserve"> principles for Construction Sector technical assistance programming: Improving chances of successful delivery</w:t>
      </w:r>
    </w:p>
    <w:tbl>
      <w:tblPr>
        <w:tblStyle w:val="Normaltablestyle"/>
        <w:tblW w:w="0" w:type="auto"/>
        <w:tblLayout w:type="fixed"/>
        <w:tblLook w:val="04A0" w:firstRow="1" w:lastRow="0" w:firstColumn="1" w:lastColumn="0" w:noHBand="0" w:noVBand="1"/>
      </w:tblPr>
      <w:tblGrid>
        <w:gridCol w:w="2552"/>
        <w:gridCol w:w="6945"/>
      </w:tblGrid>
      <w:tr w:rsidR="00BB63CD" w:rsidRPr="000E0C38" w14:paraId="170A48DB" w14:textId="77777777" w:rsidTr="00432BEF">
        <w:trPr>
          <w:cnfStyle w:val="100000000000" w:firstRow="1" w:lastRow="0" w:firstColumn="0" w:lastColumn="0" w:oddVBand="0" w:evenVBand="0" w:oddHBand="0" w:evenHBand="0" w:firstRowFirstColumn="0" w:firstRowLastColumn="0" w:lastRowFirstColumn="0" w:lastRowLastColumn="0"/>
        </w:trPr>
        <w:tc>
          <w:tcPr>
            <w:tcW w:w="2552" w:type="dxa"/>
            <w:shd w:val="clear" w:color="auto" w:fill="CBD1EE" w:themeFill="text2" w:themeFillTint="33"/>
          </w:tcPr>
          <w:p w14:paraId="19CCA689" w14:textId="77777777" w:rsidR="003F368F" w:rsidRPr="000E0C38" w:rsidRDefault="00D43966" w:rsidP="00EB3AFC">
            <w:pPr>
              <w:pStyle w:val="BodyText"/>
              <w:spacing w:after="40" w:line="240" w:lineRule="auto"/>
            </w:pPr>
            <w:r w:rsidRPr="000E0C38">
              <w:t>Programming consideration</w:t>
            </w:r>
          </w:p>
        </w:tc>
        <w:tc>
          <w:tcPr>
            <w:tcW w:w="6945" w:type="dxa"/>
            <w:shd w:val="clear" w:color="auto" w:fill="CBD1EE" w:themeFill="text2" w:themeFillTint="33"/>
          </w:tcPr>
          <w:p w14:paraId="5B1D887F" w14:textId="77777777" w:rsidR="003F368F" w:rsidRPr="000E0C38" w:rsidRDefault="003F368F" w:rsidP="00EB3AFC">
            <w:pPr>
              <w:pStyle w:val="BodyText"/>
              <w:spacing w:after="40" w:line="240" w:lineRule="auto"/>
            </w:pPr>
            <w:r w:rsidRPr="000E0C38">
              <w:t xml:space="preserve">Design </w:t>
            </w:r>
            <w:r w:rsidR="00BF2BD8" w:rsidRPr="000E0C38">
              <w:t>implications</w:t>
            </w:r>
          </w:p>
        </w:tc>
      </w:tr>
      <w:tr w:rsidR="00966EF4" w:rsidRPr="000E0C38" w14:paraId="2F929AF1" w14:textId="77777777" w:rsidTr="00432BEF">
        <w:trPr>
          <w:cnfStyle w:val="000000100000" w:firstRow="0" w:lastRow="0" w:firstColumn="0" w:lastColumn="0" w:oddVBand="0" w:evenVBand="0" w:oddHBand="1" w:evenHBand="0" w:firstRowFirstColumn="0" w:firstRowLastColumn="0" w:lastRowFirstColumn="0" w:lastRowLastColumn="0"/>
        </w:trPr>
        <w:tc>
          <w:tcPr>
            <w:tcW w:w="2552" w:type="dxa"/>
          </w:tcPr>
          <w:p w14:paraId="0D5BC506" w14:textId="4F73CD93" w:rsidR="00966EF4" w:rsidRPr="000E0C38" w:rsidRDefault="00966EF4">
            <w:pPr>
              <w:pStyle w:val="BodyText"/>
              <w:spacing w:after="40" w:line="240" w:lineRule="auto"/>
            </w:pPr>
            <w:r w:rsidRPr="000E0C38">
              <w:rPr>
                <w:b/>
              </w:rPr>
              <w:t xml:space="preserve">Determining the suitability of construction </w:t>
            </w:r>
            <w:r w:rsidR="00703366" w:rsidRPr="000E0C38">
              <w:rPr>
                <w:b/>
              </w:rPr>
              <w:t>employment interventions</w:t>
            </w:r>
          </w:p>
        </w:tc>
        <w:tc>
          <w:tcPr>
            <w:tcW w:w="6945" w:type="dxa"/>
          </w:tcPr>
          <w:p w14:paraId="74BE0375" w14:textId="097A3B6C" w:rsidR="00703366" w:rsidRPr="000E0C38" w:rsidRDefault="00966EF4" w:rsidP="00456993">
            <w:pPr>
              <w:pStyle w:val="BodyText"/>
              <w:spacing w:after="40" w:line="240" w:lineRule="auto"/>
            </w:pPr>
            <w:r w:rsidRPr="000E0C38">
              <w:t xml:space="preserve">Before deciding whether </w:t>
            </w:r>
            <w:r w:rsidR="00703366" w:rsidRPr="000E0C38">
              <w:t>to engage with the construction sector reform, a number of questions should be addressed to identify whether this is likely to be the best use of DFID resources</w:t>
            </w:r>
            <w:r w:rsidR="00181D20" w:rsidRPr="000E0C38">
              <w:t xml:space="preserve"> within a given country context</w:t>
            </w:r>
            <w:r w:rsidR="00703366" w:rsidRPr="000E0C38">
              <w:t>.  Firstly, issues relating to the likelihood of</w:t>
            </w:r>
            <w:r w:rsidR="00181D20" w:rsidRPr="000E0C38">
              <w:t xml:space="preserve"> a programme delivering </w:t>
            </w:r>
            <w:r w:rsidR="000639FF" w:rsidRPr="000E0C38">
              <w:t>robust</w:t>
            </w:r>
            <w:r w:rsidR="00703366" w:rsidRPr="000E0C38">
              <w:t xml:space="preserve"> </w:t>
            </w:r>
            <w:r w:rsidR="00181D20" w:rsidRPr="000E0C38">
              <w:t xml:space="preserve">socio-economic </w:t>
            </w:r>
            <w:r w:rsidR="007F3CC6">
              <w:t xml:space="preserve">returns should be identified. </w:t>
            </w:r>
            <w:r w:rsidR="00181D20" w:rsidRPr="000E0C38">
              <w:t>Questions</w:t>
            </w:r>
            <w:r w:rsidR="00703366" w:rsidRPr="000E0C38">
              <w:t xml:space="preserve"> include</w:t>
            </w:r>
            <w:r w:rsidR="00181D20" w:rsidRPr="000E0C38">
              <w:t>:</w:t>
            </w:r>
          </w:p>
          <w:p w14:paraId="4D9C06C0" w14:textId="557100CF" w:rsidR="00703366" w:rsidRPr="000E0C38" w:rsidRDefault="00703366" w:rsidP="00831B36">
            <w:pPr>
              <w:pStyle w:val="BodyText"/>
              <w:numPr>
                <w:ilvl w:val="0"/>
                <w:numId w:val="27"/>
              </w:numPr>
              <w:spacing w:after="40" w:line="240" w:lineRule="auto"/>
            </w:pPr>
            <w:r w:rsidRPr="000E0C38">
              <w:t xml:space="preserve">Does the construction sector </w:t>
            </w:r>
            <w:r w:rsidR="00181D20" w:rsidRPr="000E0C38">
              <w:t>make up</w:t>
            </w:r>
            <w:r w:rsidRPr="000E0C38">
              <w:t xml:space="preserve"> a significant share of the economy and/or is capacity a major bottleneck to economic growth?</w:t>
            </w:r>
            <w:r w:rsidR="00181D20" w:rsidRPr="000E0C38">
              <w:t xml:space="preserve">  Is the construction sector key to underpinning economic transformation and/or stability (e.g. in early stage industrialising economies or post conflict environments)?</w:t>
            </w:r>
          </w:p>
          <w:p w14:paraId="5D8F6CAB" w14:textId="6537C91C" w:rsidR="00703366" w:rsidRPr="000E0C38" w:rsidRDefault="00703366" w:rsidP="00831B36">
            <w:pPr>
              <w:pStyle w:val="BodyText"/>
              <w:numPr>
                <w:ilvl w:val="0"/>
                <w:numId w:val="27"/>
              </w:numPr>
              <w:spacing w:after="40" w:line="240" w:lineRule="auto"/>
            </w:pPr>
            <w:r w:rsidRPr="000E0C38">
              <w:t xml:space="preserve">Does the country suffer from significant challenges in relation to </w:t>
            </w:r>
            <w:r w:rsidR="00181D20" w:rsidRPr="000E0C38">
              <w:t>identified construction labour standards</w:t>
            </w:r>
            <w:r w:rsidRPr="000E0C38">
              <w:t xml:space="preserve"> such as</w:t>
            </w:r>
            <w:r w:rsidR="00181D20" w:rsidRPr="000E0C38">
              <w:t xml:space="preserve"> informality, migrant worker conditions, health and safety standards, protection for women and child labour, training constraints or lack of collective bargaining that prevent efficient sector development</w:t>
            </w:r>
            <w:r w:rsidRPr="000E0C38">
              <w:t>?</w:t>
            </w:r>
          </w:p>
          <w:p w14:paraId="26B50203" w14:textId="42633DE8" w:rsidR="00966EF4" w:rsidRPr="000E0C38" w:rsidRDefault="00703366" w:rsidP="00831B36">
            <w:pPr>
              <w:pStyle w:val="BodyText"/>
              <w:numPr>
                <w:ilvl w:val="0"/>
                <w:numId w:val="27"/>
              </w:numPr>
              <w:spacing w:after="40" w:line="240" w:lineRule="auto"/>
            </w:pPr>
            <w:r w:rsidRPr="000E0C38">
              <w:t xml:space="preserve">Does the country rely </w:t>
            </w:r>
            <w:r w:rsidR="00181D20" w:rsidRPr="000E0C38">
              <w:t xml:space="preserve">heavily </w:t>
            </w:r>
            <w:r w:rsidRPr="000E0C38">
              <w:t>on imported labour and or goods and services in the construction supply chain</w:t>
            </w:r>
            <w:r w:rsidR="00181D20" w:rsidRPr="000E0C38">
              <w:t xml:space="preserve">, potentially lowering the effectiveness and reach of </w:t>
            </w:r>
            <w:r w:rsidRPr="000E0C38">
              <w:t>engagement in local markets?</w:t>
            </w:r>
          </w:p>
          <w:p w14:paraId="14A2408A" w14:textId="144489BA" w:rsidR="00703366" w:rsidRPr="000E0C38" w:rsidRDefault="00703366" w:rsidP="00456993">
            <w:pPr>
              <w:pStyle w:val="BodyText"/>
              <w:spacing w:after="40" w:line="240" w:lineRule="auto"/>
            </w:pPr>
            <w:r w:rsidRPr="000E0C38">
              <w:t xml:space="preserve">Consideration should be given to the opportunity costs of </w:t>
            </w:r>
            <w:r w:rsidR="00181D20" w:rsidRPr="000E0C38">
              <w:t xml:space="preserve">not spending donor funds on </w:t>
            </w:r>
            <w:r w:rsidRPr="000E0C38">
              <w:t xml:space="preserve">other sectors of the economy which may so act as bottlenecks to </w:t>
            </w:r>
            <w:r w:rsidR="00181D20" w:rsidRPr="000E0C38">
              <w:t xml:space="preserve">economic </w:t>
            </w:r>
            <w:r w:rsidRPr="000E0C38">
              <w:t>growth</w:t>
            </w:r>
            <w:r w:rsidR="00181D20" w:rsidRPr="000E0C38">
              <w:t xml:space="preserve"> or where similar social protection and equity challenges can be found</w:t>
            </w:r>
            <w:r w:rsidRPr="000E0C38">
              <w:t>.</w:t>
            </w:r>
          </w:p>
        </w:tc>
      </w:tr>
      <w:tr w:rsidR="003F368F" w:rsidRPr="000E0C38" w14:paraId="52C14A71" w14:textId="77777777" w:rsidTr="00432BEF">
        <w:trPr>
          <w:cnfStyle w:val="000000010000" w:firstRow="0" w:lastRow="0" w:firstColumn="0" w:lastColumn="0" w:oddVBand="0" w:evenVBand="0" w:oddHBand="0" w:evenHBand="1" w:firstRowFirstColumn="0" w:firstRowLastColumn="0" w:lastRowFirstColumn="0" w:lastRowLastColumn="0"/>
        </w:trPr>
        <w:tc>
          <w:tcPr>
            <w:tcW w:w="2552" w:type="dxa"/>
          </w:tcPr>
          <w:p w14:paraId="0099AF70" w14:textId="77777777" w:rsidR="003F368F" w:rsidRPr="000E0C38" w:rsidRDefault="00040748" w:rsidP="00EB3AFC">
            <w:pPr>
              <w:pStyle w:val="BodyText"/>
              <w:spacing w:after="40" w:line="240" w:lineRule="auto"/>
              <w:rPr>
                <w:b/>
              </w:rPr>
            </w:pPr>
            <w:r w:rsidRPr="000E0C38">
              <w:rPr>
                <w:b/>
              </w:rPr>
              <w:t>Ensuring that</w:t>
            </w:r>
            <w:r w:rsidR="00425B8F" w:rsidRPr="000E0C38">
              <w:rPr>
                <w:b/>
              </w:rPr>
              <w:t xml:space="preserve"> </w:t>
            </w:r>
            <w:r w:rsidRPr="000E0C38">
              <w:rPr>
                <w:b/>
              </w:rPr>
              <w:t xml:space="preserve">the </w:t>
            </w:r>
            <w:r w:rsidR="00425B8F" w:rsidRPr="000E0C38">
              <w:rPr>
                <w:b/>
              </w:rPr>
              <w:t>construction sector offer</w:t>
            </w:r>
            <w:r w:rsidR="00EB3AFC" w:rsidRPr="000E0C38">
              <w:rPr>
                <w:b/>
              </w:rPr>
              <w:t>s</w:t>
            </w:r>
            <w:r w:rsidR="00425B8F" w:rsidRPr="000E0C38">
              <w:rPr>
                <w:b/>
              </w:rPr>
              <w:t xml:space="preserve"> a good opportunity to promote economic development and social welfare</w:t>
            </w:r>
            <w:r w:rsidR="00EB3AFC" w:rsidRPr="000E0C38">
              <w:rPr>
                <w:b/>
              </w:rPr>
              <w:t>.</w:t>
            </w:r>
          </w:p>
        </w:tc>
        <w:tc>
          <w:tcPr>
            <w:tcW w:w="6945" w:type="dxa"/>
          </w:tcPr>
          <w:p w14:paraId="22EBFFCE" w14:textId="77777777" w:rsidR="000E1DD8" w:rsidRPr="000E0C38" w:rsidRDefault="003F368F" w:rsidP="00456993">
            <w:pPr>
              <w:pStyle w:val="BodyText"/>
              <w:spacing w:after="40" w:line="240" w:lineRule="auto"/>
            </w:pPr>
            <w:r w:rsidRPr="000E0C38">
              <w:t xml:space="preserve">At a macro-level, </w:t>
            </w:r>
            <w:r w:rsidR="00FB0226" w:rsidRPr="000E0C38">
              <w:t>the evidence suggests</w:t>
            </w:r>
            <w:r w:rsidR="009011DE" w:rsidRPr="000E0C38">
              <w:t xml:space="preserve"> that investing in the construction sector is likely to del</w:t>
            </w:r>
            <w:r w:rsidR="00EB3AFC" w:rsidRPr="000E0C38">
              <w:t xml:space="preserve">iver strong economic benefits. </w:t>
            </w:r>
            <w:r w:rsidR="00C64CFA" w:rsidRPr="000E0C38">
              <w:t>The c</w:t>
            </w:r>
            <w:r w:rsidR="009011DE" w:rsidRPr="000E0C38">
              <w:t>onstruction</w:t>
            </w:r>
            <w:r w:rsidR="00C64CFA" w:rsidRPr="000E0C38">
              <w:t xml:space="preserve"> sector</w:t>
            </w:r>
            <w:r w:rsidR="009011DE" w:rsidRPr="000E0C38">
              <w:t xml:space="preserve"> </w:t>
            </w:r>
            <w:r w:rsidR="0034669F" w:rsidRPr="000E0C38">
              <w:t xml:space="preserve">generally </w:t>
            </w:r>
            <w:r w:rsidR="009011DE" w:rsidRPr="000E0C38">
              <w:t xml:space="preserve">reports higher levels of gross economic output per unit invested </w:t>
            </w:r>
            <w:r w:rsidR="0034669F" w:rsidRPr="000E0C38">
              <w:t>than other</w:t>
            </w:r>
            <w:r w:rsidR="00C64CFA" w:rsidRPr="000E0C38">
              <w:t xml:space="preserve"> </w:t>
            </w:r>
            <w:r w:rsidR="009011DE" w:rsidRPr="000E0C38">
              <w:t>sectors</w:t>
            </w:r>
            <w:r w:rsidR="00EB3AFC" w:rsidRPr="000E0C38">
              <w:t>,</w:t>
            </w:r>
            <w:r w:rsidR="009011DE" w:rsidRPr="000E0C38">
              <w:t xml:space="preserve"> as supply chains tend to be domestic and relative labour intensity means economic value is captured in the domestic economy.</w:t>
            </w:r>
            <w:r w:rsidR="00EB3AFC" w:rsidRPr="000E0C38">
              <w:t xml:space="preserve"> </w:t>
            </w:r>
            <w:proofErr w:type="spellStart"/>
            <w:r w:rsidR="00FB0226" w:rsidRPr="000E0C38">
              <w:t>Spillover</w:t>
            </w:r>
            <w:proofErr w:type="spellEnd"/>
            <w:r w:rsidR="00FB0226" w:rsidRPr="000E0C38">
              <w:t xml:space="preserve"> effects play a significant role in wider economic growth</w:t>
            </w:r>
            <w:r w:rsidR="0034669F" w:rsidRPr="000E0C38">
              <w:t xml:space="preserve"> (e.g. in services)</w:t>
            </w:r>
            <w:r w:rsidR="00EB3AFC" w:rsidRPr="000E0C38">
              <w:t xml:space="preserve">. </w:t>
            </w:r>
            <w:r w:rsidR="009011DE" w:rsidRPr="000E0C38">
              <w:t xml:space="preserve">Investment in construction also tends to </w:t>
            </w:r>
            <w:r w:rsidR="00FB0226" w:rsidRPr="000E0C38">
              <w:t>result in</w:t>
            </w:r>
            <w:r w:rsidR="009011DE" w:rsidRPr="000E0C38">
              <w:t xml:space="preserve"> high</w:t>
            </w:r>
            <w:r w:rsidR="00FB0226" w:rsidRPr="000E0C38">
              <w:t>er</w:t>
            </w:r>
            <w:r w:rsidR="009011DE" w:rsidRPr="000E0C38">
              <w:t xml:space="preserve"> levels of jobs (direct, indirect and induced)</w:t>
            </w:r>
            <w:r w:rsidR="00425B8F" w:rsidRPr="000E0C38">
              <w:t xml:space="preserve"> than other sectors, </w:t>
            </w:r>
            <w:r w:rsidR="009011DE" w:rsidRPr="000E0C38">
              <w:t xml:space="preserve">although the </w:t>
            </w:r>
            <w:r w:rsidR="00FB0226" w:rsidRPr="000E0C38">
              <w:t xml:space="preserve">overall </w:t>
            </w:r>
            <w:r w:rsidR="009011DE" w:rsidRPr="000E0C38">
              <w:t>levels seem to be lower in LICs</w:t>
            </w:r>
            <w:r w:rsidR="00FB0226" w:rsidRPr="000E0C38">
              <w:t xml:space="preserve"> than in higher income countries</w:t>
            </w:r>
            <w:r w:rsidR="00C64CFA" w:rsidRPr="000E0C38">
              <w:t xml:space="preserve">, perhaps due to the lower level of development within the </w:t>
            </w:r>
            <w:r w:rsidR="0034669F" w:rsidRPr="000E0C38">
              <w:t xml:space="preserve">construction industry </w:t>
            </w:r>
            <w:r w:rsidR="00C64CFA" w:rsidRPr="000E0C38">
              <w:t>supply chain.</w:t>
            </w:r>
            <w:r w:rsidR="00EB3AFC" w:rsidRPr="000E0C38">
              <w:t xml:space="preserve"> </w:t>
            </w:r>
            <w:r w:rsidR="00686D90" w:rsidRPr="000E0C38">
              <w:t>Investment in construction and associated job creation can provide economic stimulus during periods of economic downturn or in re</w:t>
            </w:r>
            <w:r w:rsidR="00456993" w:rsidRPr="000E0C38">
              <w:t xml:space="preserve">lation to poverty alleviation. </w:t>
            </w:r>
            <w:r w:rsidR="00686D90" w:rsidRPr="000E0C38">
              <w:t>However</w:t>
            </w:r>
            <w:r w:rsidR="0034669F" w:rsidRPr="000E0C38">
              <w:t>,</w:t>
            </w:r>
            <w:r w:rsidR="00686D90" w:rsidRPr="000E0C38">
              <w:t xml:space="preserve"> care should be taken to ensure that construction </w:t>
            </w:r>
            <w:r w:rsidR="007B7276" w:rsidRPr="000E0C38">
              <w:t>employment</w:t>
            </w:r>
            <w:r w:rsidR="00686D90" w:rsidRPr="000E0C38">
              <w:t xml:space="preserve"> </w:t>
            </w:r>
            <w:r w:rsidR="007B7276" w:rsidRPr="000E0C38">
              <w:t xml:space="preserve">interventions </w:t>
            </w:r>
            <w:r w:rsidR="00686D90" w:rsidRPr="000E0C38">
              <w:t xml:space="preserve">are sustainable and </w:t>
            </w:r>
            <w:r w:rsidR="0034669F" w:rsidRPr="000E0C38">
              <w:t>supported</w:t>
            </w:r>
            <w:r w:rsidR="00686D90" w:rsidRPr="000E0C38">
              <w:t xml:space="preserve"> by </w:t>
            </w:r>
            <w:r w:rsidR="0034669F" w:rsidRPr="000E0C38">
              <w:t xml:space="preserve">growth in </w:t>
            </w:r>
            <w:r w:rsidR="00686D90" w:rsidRPr="000E0C38">
              <w:t xml:space="preserve">aggregate </w:t>
            </w:r>
            <w:r w:rsidR="0034669F" w:rsidRPr="000E0C38">
              <w:t xml:space="preserve">construction </w:t>
            </w:r>
            <w:r w:rsidR="00686D90" w:rsidRPr="000E0C38">
              <w:t>demand within the economy</w:t>
            </w:r>
            <w:r w:rsidR="00456993" w:rsidRPr="000E0C38">
              <w:t>,</w:t>
            </w:r>
            <w:r w:rsidR="0034669F" w:rsidRPr="000E0C38">
              <w:t xml:space="preserve"> to ensure that value can be maintained over time</w:t>
            </w:r>
            <w:r w:rsidR="00686D90" w:rsidRPr="000E0C38">
              <w:t>.</w:t>
            </w:r>
          </w:p>
        </w:tc>
      </w:tr>
      <w:tr w:rsidR="0021004B" w:rsidRPr="000E0C38" w14:paraId="57D12DA0" w14:textId="77777777" w:rsidTr="00432BEF">
        <w:trPr>
          <w:cnfStyle w:val="000000100000" w:firstRow="0" w:lastRow="0" w:firstColumn="0" w:lastColumn="0" w:oddVBand="0" w:evenVBand="0" w:oddHBand="1" w:evenHBand="0" w:firstRowFirstColumn="0" w:firstRowLastColumn="0" w:lastRowFirstColumn="0" w:lastRowLastColumn="0"/>
        </w:trPr>
        <w:tc>
          <w:tcPr>
            <w:tcW w:w="2552" w:type="dxa"/>
          </w:tcPr>
          <w:p w14:paraId="5C51B6C4" w14:textId="77777777" w:rsidR="0021004B" w:rsidRPr="000E0C38" w:rsidRDefault="009079F0" w:rsidP="00EB3AFC">
            <w:pPr>
              <w:pStyle w:val="BodyText"/>
              <w:spacing w:after="40" w:line="240" w:lineRule="auto"/>
              <w:rPr>
                <w:b/>
              </w:rPr>
            </w:pPr>
            <w:r w:rsidRPr="000E0C38">
              <w:rPr>
                <w:b/>
              </w:rPr>
              <w:lastRenderedPageBreak/>
              <w:t>D</w:t>
            </w:r>
            <w:r w:rsidR="0034669F" w:rsidRPr="000E0C38">
              <w:rPr>
                <w:b/>
              </w:rPr>
              <w:t>etermin</w:t>
            </w:r>
            <w:r w:rsidRPr="000E0C38">
              <w:rPr>
                <w:b/>
              </w:rPr>
              <w:t>ing</w:t>
            </w:r>
            <w:r w:rsidR="00DC6B7B" w:rsidRPr="000E0C38">
              <w:rPr>
                <w:b/>
              </w:rPr>
              <w:t xml:space="preserve"> the most appropriate focus for </w:t>
            </w:r>
            <w:r w:rsidR="00B86F87" w:rsidRPr="000E0C38">
              <w:rPr>
                <w:b/>
              </w:rPr>
              <w:t>intervention</w:t>
            </w:r>
            <w:r w:rsidR="00456993" w:rsidRPr="000E0C38">
              <w:rPr>
                <w:b/>
              </w:rPr>
              <w:t>.</w:t>
            </w:r>
          </w:p>
        </w:tc>
        <w:tc>
          <w:tcPr>
            <w:tcW w:w="6945" w:type="dxa"/>
          </w:tcPr>
          <w:p w14:paraId="45DD59F7" w14:textId="77777777" w:rsidR="0065086E" w:rsidRPr="000E0C38" w:rsidRDefault="00397E8C" w:rsidP="00456993">
            <w:pPr>
              <w:pStyle w:val="BodyText"/>
              <w:spacing w:after="40" w:line="240" w:lineRule="auto"/>
            </w:pPr>
            <w:r w:rsidRPr="000E0C38">
              <w:t>Once</w:t>
            </w:r>
            <w:r w:rsidR="00B86F87" w:rsidRPr="000E0C38">
              <w:t xml:space="preserve"> </w:t>
            </w:r>
            <w:r w:rsidR="007B7276" w:rsidRPr="000E0C38">
              <w:t>investing in better construction employment practices</w:t>
            </w:r>
            <w:r w:rsidR="00B86F87" w:rsidRPr="000E0C38">
              <w:t xml:space="preserve"> </w:t>
            </w:r>
            <w:r w:rsidR="007B7276" w:rsidRPr="000E0C38">
              <w:t xml:space="preserve">has </w:t>
            </w:r>
            <w:r w:rsidR="00EE2FED" w:rsidRPr="000E0C38">
              <w:t xml:space="preserve">been identified </w:t>
            </w:r>
            <w:r w:rsidR="00DC6B7B" w:rsidRPr="000E0C38">
              <w:t>as an</w:t>
            </w:r>
            <w:r w:rsidR="00EE2FED" w:rsidRPr="000E0C38">
              <w:t xml:space="preserve"> </w:t>
            </w:r>
            <w:r w:rsidR="00B86F87" w:rsidRPr="000E0C38">
              <w:t xml:space="preserve">attractive opportunity </w:t>
            </w:r>
            <w:r w:rsidR="00EE2FED" w:rsidRPr="000E0C38">
              <w:t>to promote social and economic development</w:t>
            </w:r>
            <w:r w:rsidR="00B86F87" w:rsidRPr="000E0C38">
              <w:t xml:space="preserve">, the </w:t>
            </w:r>
            <w:r w:rsidR="00EE2FED" w:rsidRPr="000E0C38">
              <w:t>focus</w:t>
            </w:r>
            <w:r w:rsidR="00564761" w:rsidRPr="000E0C38">
              <w:t xml:space="preserve"> of engagement should be clearly linked to issues </w:t>
            </w:r>
            <w:r w:rsidR="00C51F10" w:rsidRPr="000E0C38">
              <w:t>prevalent</w:t>
            </w:r>
            <w:r w:rsidR="00564761" w:rsidRPr="000E0C38">
              <w:t xml:space="preserve"> in the local </w:t>
            </w:r>
            <w:r w:rsidR="00456993" w:rsidRPr="000E0C38">
              <w:t xml:space="preserve">market environment. </w:t>
            </w:r>
            <w:r w:rsidR="00EE62C3" w:rsidRPr="000E0C38">
              <w:t>Th</w:t>
            </w:r>
            <w:r w:rsidR="00F208B3" w:rsidRPr="000E0C38">
              <w:t>is</w:t>
            </w:r>
            <w:r w:rsidR="00EE62C3" w:rsidRPr="000E0C38">
              <w:t xml:space="preserve"> report sets out potential weaknesses associated with different markets (informality</w:t>
            </w:r>
            <w:r w:rsidR="009E557B" w:rsidRPr="000E0C38">
              <w:t xml:space="preserve"> and lack of collective bargaining</w:t>
            </w:r>
            <w:r w:rsidR="00EE62C3" w:rsidRPr="000E0C38">
              <w:t xml:space="preserve">, </w:t>
            </w:r>
            <w:r w:rsidR="00456993" w:rsidRPr="000E0C38">
              <w:t>foreign labour, poor OSH</w:t>
            </w:r>
            <w:r w:rsidR="009E557B" w:rsidRPr="000E0C38">
              <w:t>, skills deficits, exploitation of women</w:t>
            </w:r>
            <w:r w:rsidR="00456993" w:rsidRPr="000E0C38">
              <w:t xml:space="preserve"> </w:t>
            </w:r>
            <w:r w:rsidR="009E557B" w:rsidRPr="000E0C38">
              <w:t>/</w:t>
            </w:r>
            <w:r w:rsidR="00456993" w:rsidRPr="000E0C38">
              <w:t xml:space="preserve"> childre</w:t>
            </w:r>
            <w:r w:rsidR="009E557B" w:rsidRPr="000E0C38">
              <w:t>n</w:t>
            </w:r>
            <w:r w:rsidR="00456993" w:rsidRPr="000E0C38">
              <w:t xml:space="preserve"> </w:t>
            </w:r>
            <w:r w:rsidR="009E557B" w:rsidRPr="000E0C38">
              <w:t>/</w:t>
            </w:r>
            <w:r w:rsidR="00456993" w:rsidRPr="000E0C38">
              <w:t xml:space="preserve"> </w:t>
            </w:r>
            <w:r w:rsidR="009E557B" w:rsidRPr="000E0C38">
              <w:t>forced labour</w:t>
            </w:r>
            <w:r w:rsidR="00B768A2" w:rsidRPr="000E0C38">
              <w:t>) t</w:t>
            </w:r>
            <w:r w:rsidR="00F208B3" w:rsidRPr="000E0C38">
              <w:t>ogether with potential programming solutions to each</w:t>
            </w:r>
            <w:r w:rsidR="00456993" w:rsidRPr="000E0C38">
              <w:t xml:space="preserve">. </w:t>
            </w:r>
            <w:r w:rsidR="00EE2FED" w:rsidRPr="000E0C38">
              <w:t xml:space="preserve">Each </w:t>
            </w:r>
            <w:r w:rsidR="00341545" w:rsidRPr="000E0C38">
              <w:t>DFID country</w:t>
            </w:r>
            <w:r w:rsidR="00EE2FED" w:rsidRPr="000E0C38">
              <w:t xml:space="preserve"> is affected to a greater or lesser extent</w:t>
            </w:r>
            <w:r w:rsidR="00F208B3" w:rsidRPr="000E0C38">
              <w:t xml:space="preserve"> by these weaknesses</w:t>
            </w:r>
            <w:r w:rsidRPr="000E0C38">
              <w:t xml:space="preserve"> and there </w:t>
            </w:r>
            <w:r w:rsidR="00456993" w:rsidRPr="000E0C38">
              <w:t>will</w:t>
            </w:r>
            <w:r w:rsidRPr="000E0C38">
              <w:t xml:space="preserve"> not be a one size fits all</w:t>
            </w:r>
            <w:r w:rsidR="00456993" w:rsidRPr="000E0C38">
              <w:t xml:space="preserve"> approach to programme design. </w:t>
            </w:r>
            <w:r w:rsidR="00F208B3" w:rsidRPr="000E0C38">
              <w:t>T</w:t>
            </w:r>
            <w:r w:rsidRPr="000E0C38">
              <w:t xml:space="preserve">he report presents </w:t>
            </w:r>
            <w:r w:rsidR="00DC6B7B" w:rsidRPr="000E0C38">
              <w:t xml:space="preserve">relative </w:t>
            </w:r>
            <w:r w:rsidRPr="000E0C38">
              <w:t>country-</w:t>
            </w:r>
            <w:r w:rsidR="009E557B" w:rsidRPr="000E0C38">
              <w:t xml:space="preserve">level statistics </w:t>
            </w:r>
            <w:r w:rsidR="00B768A2" w:rsidRPr="000E0C38">
              <w:t>in relation to some of these</w:t>
            </w:r>
            <w:r w:rsidR="00F208B3" w:rsidRPr="000E0C38">
              <w:t xml:space="preserve"> </w:t>
            </w:r>
            <w:r w:rsidRPr="000E0C38">
              <w:t>issues</w:t>
            </w:r>
            <w:r w:rsidR="0034669F" w:rsidRPr="000E0C38">
              <w:t xml:space="preserve">, which in turn </w:t>
            </w:r>
            <w:r w:rsidR="00F208B3" w:rsidRPr="000E0C38">
              <w:t xml:space="preserve">might </w:t>
            </w:r>
            <w:r w:rsidRPr="000E0C38">
              <w:t xml:space="preserve">be useful in terms </w:t>
            </w:r>
            <w:r w:rsidR="00F208B3" w:rsidRPr="000E0C38">
              <w:t>of targeting</w:t>
            </w:r>
            <w:r w:rsidR="0034669F" w:rsidRPr="000E0C38">
              <w:t xml:space="preserve"> and justifying programming</w:t>
            </w:r>
            <w:r w:rsidR="00456993" w:rsidRPr="000E0C38">
              <w:t xml:space="preserve">. </w:t>
            </w:r>
            <w:r w:rsidRPr="000E0C38">
              <w:t>However,</w:t>
            </w:r>
            <w:r w:rsidR="00341545" w:rsidRPr="000E0C38">
              <w:t xml:space="preserve"> it should be recognised that most DFID countries will suffer to some extent from these challenges, and that the ranking of countries should only be used as a starting point to assess </w:t>
            </w:r>
            <w:r w:rsidR="0034669F" w:rsidRPr="000E0C38">
              <w:t xml:space="preserve">individual country </w:t>
            </w:r>
            <w:r w:rsidR="00341545" w:rsidRPr="000E0C38">
              <w:t xml:space="preserve">strengths and weaknesses. Within a </w:t>
            </w:r>
            <w:r w:rsidR="0034669F" w:rsidRPr="000E0C38">
              <w:t xml:space="preserve">single </w:t>
            </w:r>
            <w:r w:rsidR="00341545" w:rsidRPr="000E0C38">
              <w:t xml:space="preserve">country context, </w:t>
            </w:r>
            <w:r w:rsidRPr="000E0C38">
              <w:t xml:space="preserve">there may be significant regional </w:t>
            </w:r>
            <w:r w:rsidR="00341545" w:rsidRPr="000E0C38">
              <w:t xml:space="preserve">or sub-sector </w:t>
            </w:r>
            <w:r w:rsidR="00DC6B7B" w:rsidRPr="000E0C38">
              <w:t>variations</w:t>
            </w:r>
            <w:r w:rsidRPr="000E0C38">
              <w:t xml:space="preserve">, and further work will be required in </w:t>
            </w:r>
            <w:r w:rsidR="009079F0" w:rsidRPr="000E0C38">
              <w:t xml:space="preserve">exploring challenges at a more </w:t>
            </w:r>
            <w:r w:rsidR="0034669F" w:rsidRPr="000E0C38">
              <w:t>granular</w:t>
            </w:r>
            <w:r w:rsidR="009079F0" w:rsidRPr="000E0C38">
              <w:t xml:space="preserve"> level</w:t>
            </w:r>
            <w:r w:rsidRPr="000E0C38">
              <w:t>.</w:t>
            </w:r>
            <w:r w:rsidR="00B768A2" w:rsidRPr="000E0C38">
              <w:t xml:space="preserve"> </w:t>
            </w:r>
            <w:r w:rsidR="0065086E" w:rsidRPr="000E0C38">
              <w:t>In all cases, a focus should be maintained on ensuring that change processes are inclusive, transformational and deliver equity for excluded and marginalised groups.</w:t>
            </w:r>
          </w:p>
        </w:tc>
      </w:tr>
      <w:tr w:rsidR="009E557B" w:rsidRPr="000E0C38" w14:paraId="296E9B12" w14:textId="77777777" w:rsidTr="00432BEF">
        <w:trPr>
          <w:cnfStyle w:val="000000010000" w:firstRow="0" w:lastRow="0" w:firstColumn="0" w:lastColumn="0" w:oddVBand="0" w:evenVBand="0" w:oddHBand="0" w:evenHBand="1" w:firstRowFirstColumn="0" w:firstRowLastColumn="0" w:lastRowFirstColumn="0" w:lastRowLastColumn="0"/>
        </w:trPr>
        <w:tc>
          <w:tcPr>
            <w:tcW w:w="2552" w:type="dxa"/>
          </w:tcPr>
          <w:p w14:paraId="0ED02540" w14:textId="77777777" w:rsidR="009E557B" w:rsidRPr="000E0C38" w:rsidRDefault="009079F0" w:rsidP="00EB3AFC">
            <w:pPr>
              <w:pStyle w:val="BodyText"/>
              <w:spacing w:after="40" w:line="240" w:lineRule="auto"/>
              <w:rPr>
                <w:b/>
              </w:rPr>
            </w:pPr>
            <w:r w:rsidRPr="000E0C38">
              <w:rPr>
                <w:b/>
              </w:rPr>
              <w:t xml:space="preserve">Identifying </w:t>
            </w:r>
            <w:r w:rsidR="009E557B" w:rsidRPr="000E0C38">
              <w:rPr>
                <w:b/>
              </w:rPr>
              <w:t xml:space="preserve">the right solutions to </w:t>
            </w:r>
            <w:r w:rsidR="00DC6B7B" w:rsidRPr="000E0C38">
              <w:rPr>
                <w:b/>
              </w:rPr>
              <w:t>address underlying causes</w:t>
            </w:r>
            <w:r w:rsidRPr="000E0C38">
              <w:rPr>
                <w:b/>
              </w:rPr>
              <w:t xml:space="preserve"> of market failure</w:t>
            </w:r>
            <w:r w:rsidR="00456993" w:rsidRPr="000E0C38">
              <w:rPr>
                <w:b/>
              </w:rPr>
              <w:t>.</w:t>
            </w:r>
          </w:p>
        </w:tc>
        <w:tc>
          <w:tcPr>
            <w:tcW w:w="6945" w:type="dxa"/>
          </w:tcPr>
          <w:p w14:paraId="6231BEB9" w14:textId="77777777" w:rsidR="009E557B" w:rsidRPr="000E0C38" w:rsidRDefault="00341545" w:rsidP="00456993">
            <w:pPr>
              <w:pStyle w:val="BodyText"/>
              <w:spacing w:after="40" w:line="240" w:lineRule="auto"/>
            </w:pPr>
            <w:r w:rsidRPr="000E0C38">
              <w:t>The report presents a number of potential types of engagement for add</w:t>
            </w:r>
            <w:r w:rsidR="00456993" w:rsidRPr="000E0C38">
              <w:t xml:space="preserve">ressing identified challenges. </w:t>
            </w:r>
            <w:r w:rsidRPr="000E0C38">
              <w:t>However, w</w:t>
            </w:r>
            <w:r w:rsidR="00B768A2" w:rsidRPr="000E0C38">
              <w:t xml:space="preserve">here a structural weakness is identified, it is important to ensure that the solutions developed are appropriate to the context of the construction </w:t>
            </w:r>
            <w:r w:rsidR="007B7276" w:rsidRPr="000E0C38">
              <w:t xml:space="preserve">employment </w:t>
            </w:r>
            <w:r w:rsidR="00B768A2" w:rsidRPr="000E0C38">
              <w:t xml:space="preserve">market. For example, </w:t>
            </w:r>
            <w:r w:rsidR="009E557B" w:rsidRPr="000E0C38">
              <w:t>the structure of the construction industry in DFID countries is often not conducive to collective bargaining and union density (</w:t>
            </w:r>
            <w:r w:rsidR="00B768A2" w:rsidRPr="000E0C38">
              <w:t xml:space="preserve">due to the high prevalence of </w:t>
            </w:r>
            <w:r w:rsidR="009E557B" w:rsidRPr="000E0C38">
              <w:t>informal and casual workers and micro-enterprises</w:t>
            </w:r>
            <w:r w:rsidR="00B768A2" w:rsidRPr="000E0C38">
              <w:t xml:space="preserve">). Rather than lobbying for higher union recognition and formal collective bargaining structures, a more realistic solution might be the promotion of more informal social dialogue (e.g. </w:t>
            </w:r>
            <w:r w:rsidR="009E557B" w:rsidRPr="000E0C38">
              <w:t>associations of informal workers</w:t>
            </w:r>
            <w:r w:rsidR="00B768A2" w:rsidRPr="000E0C38">
              <w:t xml:space="preserve"> and the promotion of linkages between </w:t>
            </w:r>
            <w:r w:rsidR="009E557B" w:rsidRPr="000E0C38">
              <w:t>formal</w:t>
            </w:r>
            <w:r w:rsidR="00B768A2" w:rsidRPr="000E0C38">
              <w:t xml:space="preserve"> and </w:t>
            </w:r>
            <w:r w:rsidR="009E557B" w:rsidRPr="000E0C38">
              <w:t>informal workers</w:t>
            </w:r>
            <w:r w:rsidR="00B768A2" w:rsidRPr="000E0C38">
              <w:t>)</w:t>
            </w:r>
            <w:r w:rsidR="00456993" w:rsidRPr="000E0C38">
              <w:t xml:space="preserve">. </w:t>
            </w:r>
            <w:r w:rsidR="00B768A2" w:rsidRPr="000E0C38">
              <w:t>Understanding the political economy of implementation is key</w:t>
            </w:r>
            <w:r w:rsidR="00F208B3" w:rsidRPr="000E0C38">
              <w:t xml:space="preserve">, and </w:t>
            </w:r>
            <w:r w:rsidR="007B7276" w:rsidRPr="000E0C38">
              <w:t>in particular the</w:t>
            </w:r>
            <w:r w:rsidR="00F208B3" w:rsidRPr="000E0C38">
              <w:t xml:space="preserve"> underlying causes of labour market failures, </w:t>
            </w:r>
            <w:r w:rsidR="009079F0" w:rsidRPr="000E0C38">
              <w:t xml:space="preserve">rather than just </w:t>
            </w:r>
            <w:r w:rsidR="00F208B3" w:rsidRPr="000E0C38">
              <w:t>the symptoms.</w:t>
            </w:r>
          </w:p>
        </w:tc>
      </w:tr>
      <w:tr w:rsidR="0021004B" w:rsidRPr="000E0C38" w14:paraId="1AD80E50" w14:textId="77777777" w:rsidTr="00432BEF">
        <w:trPr>
          <w:cnfStyle w:val="000000100000" w:firstRow="0" w:lastRow="0" w:firstColumn="0" w:lastColumn="0" w:oddVBand="0" w:evenVBand="0" w:oddHBand="1" w:evenHBand="0" w:firstRowFirstColumn="0" w:firstRowLastColumn="0" w:lastRowFirstColumn="0" w:lastRowLastColumn="0"/>
        </w:trPr>
        <w:tc>
          <w:tcPr>
            <w:tcW w:w="2552" w:type="dxa"/>
          </w:tcPr>
          <w:p w14:paraId="133FCF8B" w14:textId="77777777" w:rsidR="0021004B" w:rsidRPr="000E0C38" w:rsidRDefault="00564761" w:rsidP="00EB3AFC">
            <w:pPr>
              <w:pStyle w:val="BodyText"/>
              <w:spacing w:after="40" w:line="240" w:lineRule="auto"/>
              <w:rPr>
                <w:b/>
              </w:rPr>
            </w:pPr>
            <w:r w:rsidRPr="000E0C38">
              <w:rPr>
                <w:b/>
              </w:rPr>
              <w:t>Maximising the benefits of integrated programming</w:t>
            </w:r>
            <w:r w:rsidR="00456993" w:rsidRPr="000E0C38">
              <w:rPr>
                <w:b/>
              </w:rPr>
              <w:t>.</w:t>
            </w:r>
          </w:p>
        </w:tc>
        <w:tc>
          <w:tcPr>
            <w:tcW w:w="6945" w:type="dxa"/>
          </w:tcPr>
          <w:p w14:paraId="1209BE59" w14:textId="77777777" w:rsidR="0021004B" w:rsidRPr="000E0C38" w:rsidRDefault="00100A98" w:rsidP="00456993">
            <w:pPr>
              <w:pStyle w:val="BodyText"/>
              <w:spacing w:after="40" w:line="240" w:lineRule="auto"/>
            </w:pPr>
            <w:r w:rsidRPr="000E0C38">
              <w:t>Evidence</w:t>
            </w:r>
            <w:r w:rsidR="00D9365F" w:rsidRPr="000E0C38">
              <w:t xml:space="preserve"> from existing programming</w:t>
            </w:r>
            <w:r w:rsidRPr="000E0C38">
              <w:t xml:space="preserve"> indicates that there are benefits from engaging </w:t>
            </w:r>
            <w:r w:rsidR="000807C4" w:rsidRPr="000E0C38">
              <w:t xml:space="preserve">simultaneously </w:t>
            </w:r>
            <w:r w:rsidRPr="000E0C38">
              <w:t xml:space="preserve">across a range of </w:t>
            </w:r>
            <w:r w:rsidR="000807C4" w:rsidRPr="000E0C38">
              <w:t xml:space="preserve">appropriate </w:t>
            </w:r>
            <w:r w:rsidR="00D9365F" w:rsidRPr="000E0C38">
              <w:t xml:space="preserve">intervention </w:t>
            </w:r>
            <w:r w:rsidR="00456993" w:rsidRPr="000E0C38">
              <w:t xml:space="preserve">areas. </w:t>
            </w:r>
            <w:r w:rsidR="000E1DD8" w:rsidRPr="000E0C38">
              <w:t>This provides benefits both in terms of programming risk diversification, but also allows for cross</w:t>
            </w:r>
            <w:r w:rsidR="000807C4" w:rsidRPr="000E0C38">
              <w:t>-</w:t>
            </w:r>
            <w:r w:rsidR="000E1DD8" w:rsidRPr="000E0C38">
              <w:t xml:space="preserve">learning and </w:t>
            </w:r>
            <w:r w:rsidR="000807C4" w:rsidRPr="000E0C38">
              <w:t>can create synergies</w:t>
            </w:r>
            <w:r w:rsidR="00456993" w:rsidRPr="000E0C38">
              <w:t xml:space="preserve">. </w:t>
            </w:r>
            <w:r w:rsidR="000E1DD8" w:rsidRPr="000E0C38">
              <w:t>The most successful programmes seek to combine</w:t>
            </w:r>
            <w:r w:rsidR="000807C4" w:rsidRPr="000E0C38">
              <w:t xml:space="preserve"> demonstration initiatives (e.g. specific job creation or improvement activities) with scale</w:t>
            </w:r>
            <w:r w:rsidR="00C51F10" w:rsidRPr="000E0C38">
              <w:t>-</w:t>
            </w:r>
            <w:r w:rsidR="000807C4" w:rsidRPr="000E0C38">
              <w:t>up approaches (either through regulators, construction industry associations, or other sector bodies)</w:t>
            </w:r>
            <w:r w:rsidR="00456993" w:rsidRPr="000E0C38">
              <w:t>.</w:t>
            </w:r>
            <w:r w:rsidR="00C51F10" w:rsidRPr="000E0C38">
              <w:t xml:space="preserve"> Demonstration effect is key to creating trust, showing proof of concept, and reducing employer concerns around costs, labour issues</w:t>
            </w:r>
            <w:r w:rsidR="00456993" w:rsidRPr="000E0C38">
              <w:t>,</w:t>
            </w:r>
            <w:r w:rsidR="00C51F10" w:rsidRPr="000E0C38">
              <w:t xml:space="preserve"> and productivity.</w:t>
            </w:r>
            <w:r w:rsidR="00CD2779" w:rsidRPr="000E0C38">
              <w:t xml:space="preserve"> Demonstration effect is particularly powerful in LICs where perceived barriers to change are strong.</w:t>
            </w:r>
          </w:p>
        </w:tc>
      </w:tr>
      <w:tr w:rsidR="0002701E" w:rsidRPr="000E0C38" w14:paraId="2265FEAA" w14:textId="77777777" w:rsidTr="00432BEF">
        <w:trPr>
          <w:cnfStyle w:val="000000010000" w:firstRow="0" w:lastRow="0" w:firstColumn="0" w:lastColumn="0" w:oddVBand="0" w:evenVBand="0" w:oddHBand="0" w:evenHBand="1" w:firstRowFirstColumn="0" w:firstRowLastColumn="0" w:lastRowFirstColumn="0" w:lastRowLastColumn="0"/>
        </w:trPr>
        <w:tc>
          <w:tcPr>
            <w:tcW w:w="2552" w:type="dxa"/>
          </w:tcPr>
          <w:p w14:paraId="6DA9CC75" w14:textId="77777777" w:rsidR="0002701E" w:rsidRPr="000E0C38" w:rsidRDefault="0002701E" w:rsidP="00EB3AFC">
            <w:pPr>
              <w:pStyle w:val="BodyText"/>
              <w:spacing w:after="40" w:line="240" w:lineRule="auto"/>
              <w:rPr>
                <w:b/>
              </w:rPr>
            </w:pPr>
            <w:r w:rsidRPr="000E0C38">
              <w:rPr>
                <w:b/>
              </w:rPr>
              <w:t xml:space="preserve">Opportunities for </w:t>
            </w:r>
            <w:r w:rsidR="009E557B" w:rsidRPr="000E0C38">
              <w:rPr>
                <w:b/>
              </w:rPr>
              <w:t>integration with wider</w:t>
            </w:r>
            <w:r w:rsidRPr="000E0C38">
              <w:rPr>
                <w:b/>
              </w:rPr>
              <w:t xml:space="preserve"> thematic</w:t>
            </w:r>
            <w:r w:rsidR="00456993" w:rsidRPr="000E0C38">
              <w:rPr>
                <w:b/>
              </w:rPr>
              <w:t xml:space="preserve"> </w:t>
            </w:r>
            <w:r w:rsidR="009E557B" w:rsidRPr="000E0C38">
              <w:rPr>
                <w:b/>
              </w:rPr>
              <w:t>/</w:t>
            </w:r>
            <w:r w:rsidR="00456993" w:rsidRPr="000E0C38">
              <w:rPr>
                <w:b/>
              </w:rPr>
              <w:t xml:space="preserve"> </w:t>
            </w:r>
            <w:r w:rsidR="009E557B" w:rsidRPr="000E0C38">
              <w:rPr>
                <w:b/>
              </w:rPr>
              <w:t>sector</w:t>
            </w:r>
            <w:r w:rsidRPr="000E0C38">
              <w:rPr>
                <w:b/>
              </w:rPr>
              <w:t xml:space="preserve"> </w:t>
            </w:r>
            <w:r w:rsidR="000E1DD8" w:rsidRPr="000E0C38">
              <w:rPr>
                <w:b/>
              </w:rPr>
              <w:t>programming</w:t>
            </w:r>
            <w:r w:rsidR="00456993" w:rsidRPr="000E0C38">
              <w:rPr>
                <w:b/>
              </w:rPr>
              <w:t>.</w:t>
            </w:r>
          </w:p>
        </w:tc>
        <w:tc>
          <w:tcPr>
            <w:tcW w:w="6945" w:type="dxa"/>
          </w:tcPr>
          <w:p w14:paraId="26158397" w14:textId="77777777" w:rsidR="0002701E" w:rsidRPr="000E0C38" w:rsidRDefault="0002701E" w:rsidP="00EB3AFC">
            <w:pPr>
              <w:pStyle w:val="BodyText"/>
              <w:spacing w:after="40" w:line="240" w:lineRule="auto"/>
            </w:pPr>
            <w:r w:rsidRPr="000E0C38">
              <w:t xml:space="preserve">Construction </w:t>
            </w:r>
            <w:r w:rsidR="007B7276" w:rsidRPr="000E0C38">
              <w:t>employment</w:t>
            </w:r>
            <w:r w:rsidRPr="000E0C38">
              <w:t xml:space="preserve"> interventions can potentially deliver strong </w:t>
            </w:r>
            <w:r w:rsidR="00495CED" w:rsidRPr="000E0C38">
              <w:t>VFM</w:t>
            </w:r>
            <w:r w:rsidRPr="000E0C38">
              <w:t xml:space="preserve"> co-benefits where they are integrated with more focused sectoral interventions (e.g. roads, transport, housing), or other cross-cutting priorities (e.g. climate change, poverty alleviation, female empowerment).</w:t>
            </w:r>
            <w:r w:rsidR="00456993" w:rsidRPr="000E0C38">
              <w:t xml:space="preserve"> </w:t>
            </w:r>
            <w:r w:rsidRPr="000E0C38">
              <w:t>DFID might therefore explore opportunities to include construction</w:t>
            </w:r>
            <w:r w:rsidR="007B7276" w:rsidRPr="000E0C38">
              <w:t xml:space="preserve"> employment interventions </w:t>
            </w:r>
            <w:r w:rsidRPr="000E0C38">
              <w:t xml:space="preserve">as subcomponents </w:t>
            </w:r>
            <w:r w:rsidR="007B7276" w:rsidRPr="000E0C38">
              <w:t xml:space="preserve">within </w:t>
            </w:r>
            <w:r w:rsidRPr="000E0C38">
              <w:t xml:space="preserve">larger programmes. One example is green construction (e.g. Zambia Green Jobs Programme) which simultaneously delivers job growth and reform within a larger low carbon </w:t>
            </w:r>
            <w:r w:rsidR="00456993" w:rsidRPr="000E0C38">
              <w:t xml:space="preserve">development supply chain. </w:t>
            </w:r>
            <w:r w:rsidRPr="000E0C38">
              <w:t>Such projects may have a different primary purpose (e.g. developing supply chains for an emerging sector), but may also include within that some element of job creation, reskilling</w:t>
            </w:r>
            <w:r w:rsidR="00456993" w:rsidRPr="000E0C38">
              <w:t>,</w:t>
            </w:r>
            <w:r w:rsidRPr="000E0C38">
              <w:t xml:space="preserve"> or regulatory reform.</w:t>
            </w:r>
          </w:p>
        </w:tc>
      </w:tr>
      <w:tr w:rsidR="00B86F87" w:rsidRPr="000E0C38" w14:paraId="67FD1092" w14:textId="77777777" w:rsidTr="00432BEF">
        <w:trPr>
          <w:cnfStyle w:val="000000100000" w:firstRow="0" w:lastRow="0" w:firstColumn="0" w:lastColumn="0" w:oddVBand="0" w:evenVBand="0" w:oddHBand="1" w:evenHBand="0" w:firstRowFirstColumn="0" w:firstRowLastColumn="0" w:lastRowFirstColumn="0" w:lastRowLastColumn="0"/>
        </w:trPr>
        <w:tc>
          <w:tcPr>
            <w:tcW w:w="2552" w:type="dxa"/>
          </w:tcPr>
          <w:p w14:paraId="3DE78C2F" w14:textId="77777777" w:rsidR="00B86F87" w:rsidRPr="000E0C38" w:rsidRDefault="009079F0" w:rsidP="00EB3AFC">
            <w:pPr>
              <w:pStyle w:val="BodyText"/>
              <w:spacing w:after="40" w:line="240" w:lineRule="auto"/>
              <w:rPr>
                <w:b/>
              </w:rPr>
            </w:pPr>
            <w:r w:rsidRPr="000E0C38">
              <w:rPr>
                <w:b/>
              </w:rPr>
              <w:lastRenderedPageBreak/>
              <w:t>Designing p</w:t>
            </w:r>
            <w:r w:rsidR="0002701E" w:rsidRPr="000E0C38">
              <w:rPr>
                <w:b/>
              </w:rPr>
              <w:t>rogramming approaches to</w:t>
            </w:r>
            <w:r w:rsidR="00B86F87" w:rsidRPr="000E0C38">
              <w:rPr>
                <w:b/>
              </w:rPr>
              <w:t xml:space="preserve"> maximise ch</w:t>
            </w:r>
            <w:r w:rsidR="0002701E" w:rsidRPr="000E0C38">
              <w:rPr>
                <w:b/>
              </w:rPr>
              <w:t>ances of success</w:t>
            </w:r>
            <w:r w:rsidR="00456993" w:rsidRPr="000E0C38">
              <w:rPr>
                <w:b/>
              </w:rPr>
              <w:t>.</w:t>
            </w:r>
          </w:p>
        </w:tc>
        <w:tc>
          <w:tcPr>
            <w:tcW w:w="6945" w:type="dxa"/>
          </w:tcPr>
          <w:p w14:paraId="76F9CB66" w14:textId="77777777" w:rsidR="00D9365F" w:rsidRPr="000E0C38" w:rsidRDefault="0002701E" w:rsidP="00456993">
            <w:pPr>
              <w:pStyle w:val="BodyText"/>
              <w:spacing w:after="40" w:line="240" w:lineRule="auto"/>
            </w:pPr>
            <w:r w:rsidRPr="000E0C38">
              <w:t xml:space="preserve">A review </w:t>
            </w:r>
            <w:r w:rsidR="00B86F87" w:rsidRPr="000E0C38">
              <w:t xml:space="preserve">of existing </w:t>
            </w:r>
            <w:r w:rsidR="00D9365F" w:rsidRPr="000E0C38">
              <w:t>programmes indicate</w:t>
            </w:r>
            <w:r w:rsidRPr="000E0C38">
              <w:t>s</w:t>
            </w:r>
            <w:r w:rsidR="00D9365F" w:rsidRPr="000E0C38">
              <w:t xml:space="preserve"> that there are a number of important key success factors</w:t>
            </w:r>
            <w:r w:rsidRPr="000E0C38">
              <w:t xml:space="preserve"> (KSFs) </w:t>
            </w:r>
            <w:r w:rsidR="00D9365F" w:rsidRPr="000E0C38">
              <w:t xml:space="preserve">in implementing successful </w:t>
            </w:r>
            <w:r w:rsidR="007B7276" w:rsidRPr="000E0C38">
              <w:t>interventions</w:t>
            </w:r>
            <w:r w:rsidR="00456993" w:rsidRPr="000E0C38">
              <w:t xml:space="preserve">. </w:t>
            </w:r>
            <w:r w:rsidR="00D9365F" w:rsidRPr="000E0C38">
              <w:t>These include engagement with high-level stakeholders (particularly to support regulatory reform and</w:t>
            </w:r>
            <w:r w:rsidR="00456993" w:rsidRPr="000E0C38">
              <w:t xml:space="preserve"> </w:t>
            </w:r>
            <w:r w:rsidR="00D9365F" w:rsidRPr="000E0C38">
              <w:t>/</w:t>
            </w:r>
            <w:r w:rsidR="00456993" w:rsidRPr="000E0C38">
              <w:t xml:space="preserve"> </w:t>
            </w:r>
            <w:r w:rsidR="00D9365F" w:rsidRPr="000E0C38">
              <w:t>or the adoption of voluntary best practice),</w:t>
            </w:r>
            <w:r w:rsidR="000E1DD8" w:rsidRPr="000E0C38">
              <w:t xml:space="preserve"> focussing efforts in a small number of high impact initiatives (to build visibility and trust)</w:t>
            </w:r>
            <w:r w:rsidR="009079F0" w:rsidRPr="000E0C38">
              <w:t>,</w:t>
            </w:r>
            <w:r w:rsidR="00D9365F" w:rsidRPr="000E0C38">
              <w:t xml:space="preserve"> engaging with both workers and private sector employers to ensure that incentives are aligned and that proposed solutions are acceptable, anchoring initiatives in larger scale construction</w:t>
            </w:r>
            <w:r w:rsidRPr="000E0C38">
              <w:t xml:space="preserve"> capital </w:t>
            </w:r>
            <w:r w:rsidR="00D9365F" w:rsidRPr="000E0C38">
              <w:t>investment</w:t>
            </w:r>
            <w:r w:rsidRPr="000E0C38">
              <w:t xml:space="preserve"> projects </w:t>
            </w:r>
            <w:r w:rsidR="00D9365F" w:rsidRPr="000E0C38">
              <w:t>(to ensure economic viability, labour demand and skills relevance)</w:t>
            </w:r>
            <w:r w:rsidR="00456993" w:rsidRPr="000E0C38">
              <w:t>,</w:t>
            </w:r>
            <w:r w:rsidRPr="000E0C38">
              <w:t xml:space="preserve"> and adopting a market supply chain based approach that looks at skill sets beyond</w:t>
            </w:r>
            <w:r w:rsidR="00456993" w:rsidRPr="000E0C38">
              <w:t xml:space="preserve"> pure construction labour (</w:t>
            </w:r>
            <w:r w:rsidRPr="000E0C38">
              <w:t>thereby supporting sector viability</w:t>
            </w:r>
            <w:r w:rsidR="00456993" w:rsidRPr="000E0C38">
              <w:t>)</w:t>
            </w:r>
            <w:r w:rsidRPr="000E0C38">
              <w:t>.</w:t>
            </w:r>
            <w:r w:rsidR="0065086E" w:rsidRPr="000E0C38">
              <w:t xml:space="preserve"> Again, strong political economy approaches and robust stakeholder analysis are important. </w:t>
            </w:r>
          </w:p>
        </w:tc>
      </w:tr>
      <w:tr w:rsidR="003F368F" w:rsidRPr="000E0C38" w14:paraId="3D9B8F54" w14:textId="77777777" w:rsidTr="00432BEF">
        <w:trPr>
          <w:cnfStyle w:val="000000010000" w:firstRow="0" w:lastRow="0" w:firstColumn="0" w:lastColumn="0" w:oddVBand="0" w:evenVBand="0" w:oddHBand="0" w:evenHBand="1" w:firstRowFirstColumn="0" w:firstRowLastColumn="0" w:lastRowFirstColumn="0" w:lastRowLastColumn="0"/>
        </w:trPr>
        <w:tc>
          <w:tcPr>
            <w:tcW w:w="2552" w:type="dxa"/>
          </w:tcPr>
          <w:p w14:paraId="7271AF71" w14:textId="77777777" w:rsidR="003F368F" w:rsidRPr="000E0C38" w:rsidRDefault="00D9365F" w:rsidP="00EB3AFC">
            <w:pPr>
              <w:pStyle w:val="BodyText"/>
              <w:spacing w:after="40" w:line="240" w:lineRule="auto"/>
              <w:rPr>
                <w:b/>
              </w:rPr>
            </w:pPr>
            <w:r w:rsidRPr="000E0C38">
              <w:rPr>
                <w:b/>
              </w:rPr>
              <w:t xml:space="preserve">Dealing with high levels </w:t>
            </w:r>
            <w:r w:rsidR="003F368F" w:rsidRPr="000E0C38">
              <w:rPr>
                <w:b/>
              </w:rPr>
              <w:t xml:space="preserve">of foreign </w:t>
            </w:r>
            <w:r w:rsidRPr="000E0C38">
              <w:rPr>
                <w:b/>
              </w:rPr>
              <w:t>contractor/</w:t>
            </w:r>
            <w:r w:rsidR="0002701E" w:rsidRPr="000E0C38">
              <w:rPr>
                <w:b/>
              </w:rPr>
              <w:t xml:space="preserve">foreign </w:t>
            </w:r>
            <w:r w:rsidRPr="000E0C38">
              <w:rPr>
                <w:b/>
              </w:rPr>
              <w:t xml:space="preserve">worker </w:t>
            </w:r>
            <w:r w:rsidR="003F368F" w:rsidRPr="000E0C38">
              <w:rPr>
                <w:b/>
              </w:rPr>
              <w:t>participation</w:t>
            </w:r>
            <w:r w:rsidRPr="000E0C38">
              <w:rPr>
                <w:b/>
              </w:rPr>
              <w:t>.</w:t>
            </w:r>
          </w:p>
        </w:tc>
        <w:tc>
          <w:tcPr>
            <w:tcW w:w="6945" w:type="dxa"/>
          </w:tcPr>
          <w:p w14:paraId="0E646C4D" w14:textId="77777777" w:rsidR="000E1DD8" w:rsidRPr="000E0C38" w:rsidRDefault="003F368F" w:rsidP="0071379F">
            <w:pPr>
              <w:pStyle w:val="BodyText"/>
              <w:spacing w:after="40" w:line="240" w:lineRule="auto"/>
            </w:pPr>
            <w:r w:rsidRPr="000E0C38">
              <w:t xml:space="preserve">The level of foreign </w:t>
            </w:r>
            <w:r w:rsidR="000D2893" w:rsidRPr="000E0C38">
              <w:t>contractor participation</w:t>
            </w:r>
            <w:r w:rsidRPr="000E0C38">
              <w:t xml:space="preserve"> in the</w:t>
            </w:r>
            <w:r w:rsidR="00BF2BD8" w:rsidRPr="000E0C38">
              <w:t xml:space="preserve"> construction</w:t>
            </w:r>
            <w:r w:rsidRPr="000E0C38">
              <w:t xml:space="preserve"> industry </w:t>
            </w:r>
            <w:r w:rsidR="00BF2BD8" w:rsidRPr="000E0C38">
              <w:t xml:space="preserve">should not automatically be regarded as a barrier to </w:t>
            </w:r>
            <w:r w:rsidR="000D2893" w:rsidRPr="000E0C38">
              <w:t>engagement</w:t>
            </w:r>
            <w:r w:rsidR="00456993" w:rsidRPr="000E0C38">
              <w:t xml:space="preserve">. </w:t>
            </w:r>
            <w:r w:rsidR="00BF2BD8" w:rsidRPr="000E0C38">
              <w:t>Foreign contractors can</w:t>
            </w:r>
            <w:r w:rsidRPr="000E0C38">
              <w:t xml:space="preserve"> potentially</w:t>
            </w:r>
            <w:r w:rsidR="007B7276" w:rsidRPr="000E0C38">
              <w:t xml:space="preserve"> be</w:t>
            </w:r>
            <w:r w:rsidRPr="000E0C38">
              <w:t xml:space="preserve"> an asset</w:t>
            </w:r>
            <w:r w:rsidR="00BF2BD8" w:rsidRPr="000E0C38">
              <w:t xml:space="preserve"> in </w:t>
            </w:r>
            <w:r w:rsidR="007B7276" w:rsidRPr="000E0C38">
              <w:t xml:space="preserve">improving </w:t>
            </w:r>
            <w:r w:rsidR="00BF2BD8" w:rsidRPr="000E0C38">
              <w:t xml:space="preserve">construction </w:t>
            </w:r>
            <w:r w:rsidR="007B7276" w:rsidRPr="000E0C38">
              <w:t>employment practices</w:t>
            </w:r>
            <w:r w:rsidRPr="000E0C38">
              <w:t xml:space="preserve">, </w:t>
            </w:r>
            <w:r w:rsidR="00BF2BD8" w:rsidRPr="000E0C38">
              <w:t xml:space="preserve">as they can </w:t>
            </w:r>
            <w:r w:rsidRPr="000E0C38">
              <w:t xml:space="preserve">raise </w:t>
            </w:r>
            <w:r w:rsidR="00BF2BD8" w:rsidRPr="000E0C38">
              <w:t xml:space="preserve">standards in the </w:t>
            </w:r>
            <w:r w:rsidRPr="000E0C38">
              <w:t>supply chain</w:t>
            </w:r>
            <w:r w:rsidR="00BF2BD8" w:rsidRPr="000E0C38">
              <w:t>, and deliver i</w:t>
            </w:r>
            <w:r w:rsidRPr="000E0C38">
              <w:t xml:space="preserve">nvestment </w:t>
            </w:r>
            <w:r w:rsidR="00BF2BD8" w:rsidRPr="000E0C38">
              <w:t xml:space="preserve">in </w:t>
            </w:r>
            <w:r w:rsidRPr="000E0C38">
              <w:t xml:space="preserve">training or apprenticeships. It should </w:t>
            </w:r>
            <w:r w:rsidR="000D2893" w:rsidRPr="000E0C38">
              <w:t xml:space="preserve">also </w:t>
            </w:r>
            <w:r w:rsidRPr="000E0C38">
              <w:t>not be assumed that high levels of international contractor involvement (e.g. Chinese EPC) are automatically associated with migrant labour (as this is more li</w:t>
            </w:r>
            <w:r w:rsidR="00D43966" w:rsidRPr="000E0C38">
              <w:t>k</w:t>
            </w:r>
            <w:r w:rsidR="000D2893" w:rsidRPr="000E0C38">
              <w:t xml:space="preserve">ely to be at managerial level), and the economics of imported labour mean the trend towards </w:t>
            </w:r>
            <w:r w:rsidR="0071379F" w:rsidRPr="000E0C38">
              <w:t>greater use of domestic labour i</w:t>
            </w:r>
            <w:r w:rsidR="000D2893" w:rsidRPr="000E0C38">
              <w:t xml:space="preserve">s set to continue. </w:t>
            </w:r>
            <w:r w:rsidR="00C51F10" w:rsidRPr="000E0C38">
              <w:t xml:space="preserve">There are, however, few models of successful engagement between donors and </w:t>
            </w:r>
            <w:r w:rsidR="000D2893" w:rsidRPr="000E0C38">
              <w:t>contractors</w:t>
            </w:r>
            <w:r w:rsidR="00C51F10" w:rsidRPr="000E0C38">
              <w:t xml:space="preserve"> from emerging economies from which to draw lesson</w:t>
            </w:r>
            <w:r w:rsidR="00456993" w:rsidRPr="000E0C38">
              <w:t xml:space="preserve">s about successful engagement. </w:t>
            </w:r>
            <w:r w:rsidR="0002701E" w:rsidRPr="000E0C38">
              <w:t xml:space="preserve">Where migrant labour does form </w:t>
            </w:r>
            <w:r w:rsidR="00C51F10" w:rsidRPr="000E0C38">
              <w:t>a significant proportion of labour, then the focus should be on conditions (informality, O</w:t>
            </w:r>
            <w:r w:rsidR="0071379F" w:rsidRPr="000E0C38">
              <w:t>SH</w:t>
            </w:r>
            <w:r w:rsidR="00C51F10" w:rsidRPr="000E0C38">
              <w:t xml:space="preserve">), rather than on skills, the benefits of which are unlikely </w:t>
            </w:r>
            <w:r w:rsidR="0071379F" w:rsidRPr="000E0C38">
              <w:t>to be captured by</w:t>
            </w:r>
            <w:r w:rsidR="00C51F10" w:rsidRPr="000E0C38">
              <w:t xml:space="preserve"> the domestic economy.</w:t>
            </w:r>
          </w:p>
        </w:tc>
      </w:tr>
      <w:tr w:rsidR="003F368F" w:rsidRPr="000E0C38" w14:paraId="41ECEE0E" w14:textId="77777777" w:rsidTr="00432BEF">
        <w:trPr>
          <w:cnfStyle w:val="000000100000" w:firstRow="0" w:lastRow="0" w:firstColumn="0" w:lastColumn="0" w:oddVBand="0" w:evenVBand="0" w:oddHBand="1" w:evenHBand="0" w:firstRowFirstColumn="0" w:firstRowLastColumn="0" w:lastRowFirstColumn="0" w:lastRowLastColumn="0"/>
        </w:trPr>
        <w:tc>
          <w:tcPr>
            <w:tcW w:w="2552" w:type="dxa"/>
          </w:tcPr>
          <w:p w14:paraId="13D65CB0" w14:textId="77777777" w:rsidR="003F368F" w:rsidRPr="000E0C38" w:rsidRDefault="00F208B3" w:rsidP="00EB3AFC">
            <w:pPr>
              <w:pStyle w:val="BodyText"/>
              <w:spacing w:after="40" w:line="240" w:lineRule="auto"/>
              <w:rPr>
                <w:b/>
              </w:rPr>
            </w:pPr>
            <w:r w:rsidRPr="000E0C38">
              <w:rPr>
                <w:b/>
              </w:rPr>
              <w:t>Accounting for</w:t>
            </w:r>
            <w:r w:rsidR="00B86F87" w:rsidRPr="000E0C38">
              <w:rPr>
                <w:b/>
              </w:rPr>
              <w:t xml:space="preserve"> supply chain and </w:t>
            </w:r>
            <w:r w:rsidR="003F368F" w:rsidRPr="000E0C38">
              <w:rPr>
                <w:b/>
              </w:rPr>
              <w:t xml:space="preserve">technological </w:t>
            </w:r>
            <w:r w:rsidR="00B86F87" w:rsidRPr="000E0C38">
              <w:rPr>
                <w:b/>
              </w:rPr>
              <w:t>trends</w:t>
            </w:r>
            <w:r w:rsidR="0071379F" w:rsidRPr="000E0C38">
              <w:rPr>
                <w:b/>
              </w:rPr>
              <w:t>.</w:t>
            </w:r>
          </w:p>
        </w:tc>
        <w:tc>
          <w:tcPr>
            <w:tcW w:w="6945" w:type="dxa"/>
          </w:tcPr>
          <w:p w14:paraId="21AE973E" w14:textId="77777777" w:rsidR="003F368F" w:rsidRPr="000E0C38" w:rsidRDefault="003F368F" w:rsidP="00EB3AFC">
            <w:pPr>
              <w:pStyle w:val="BodyText"/>
              <w:spacing w:after="40" w:line="240" w:lineRule="auto"/>
            </w:pPr>
            <w:r w:rsidRPr="000E0C38">
              <w:t xml:space="preserve">The design of labour intensive programmes </w:t>
            </w:r>
            <w:r w:rsidR="00B86F87" w:rsidRPr="000E0C38">
              <w:t xml:space="preserve">in the construction industry </w:t>
            </w:r>
            <w:r w:rsidRPr="000E0C38">
              <w:t xml:space="preserve">(i.e. </w:t>
            </w:r>
            <w:r w:rsidR="00B86F87" w:rsidRPr="000E0C38">
              <w:t xml:space="preserve">where </w:t>
            </w:r>
            <w:r w:rsidRPr="000E0C38">
              <w:t>job creation</w:t>
            </w:r>
            <w:r w:rsidR="00B86F87" w:rsidRPr="000E0C38">
              <w:t xml:space="preserve"> is the primary focus</w:t>
            </w:r>
            <w:r w:rsidRPr="000E0C38">
              <w:t xml:space="preserve">) may run counter to prevailing </w:t>
            </w:r>
            <w:r w:rsidR="00B86F87" w:rsidRPr="000E0C38">
              <w:t xml:space="preserve">efficiency </w:t>
            </w:r>
            <w:r w:rsidRPr="000E0C38">
              <w:t>trends associated with increased pre-fabrication and mechanisation</w:t>
            </w:r>
            <w:r w:rsidR="00A35165" w:rsidRPr="000E0C38">
              <w:t xml:space="preserve">, particularly </w:t>
            </w:r>
            <w:r w:rsidR="00B86F87" w:rsidRPr="000E0C38">
              <w:t xml:space="preserve">for larger projects in </w:t>
            </w:r>
            <w:r w:rsidR="00A35165" w:rsidRPr="000E0C38">
              <w:t xml:space="preserve">more developed </w:t>
            </w:r>
            <w:r w:rsidR="00B86F87" w:rsidRPr="000E0C38">
              <w:t xml:space="preserve">(lower) </w:t>
            </w:r>
            <w:r w:rsidR="00A35165" w:rsidRPr="000E0C38">
              <w:t>middle-income economies</w:t>
            </w:r>
            <w:r w:rsidR="0071379F" w:rsidRPr="000E0C38">
              <w:t xml:space="preserve">. </w:t>
            </w:r>
            <w:r w:rsidRPr="000E0C38">
              <w:t xml:space="preserve">As such, there is the potential for temporary employment gains to be promoted at the expense of </w:t>
            </w:r>
            <w:r w:rsidR="00A35165" w:rsidRPr="000E0C38">
              <w:t>improved</w:t>
            </w:r>
            <w:r w:rsidRPr="000E0C38">
              <w:t xml:space="preserve"> efficiency and quality of delivery.</w:t>
            </w:r>
            <w:r w:rsidR="00D43966" w:rsidRPr="000E0C38">
              <w:t xml:space="preserve"> </w:t>
            </w:r>
            <w:r w:rsidR="00A35165" w:rsidRPr="000E0C38">
              <w:t>In developing countries, the trends towards mechanisation and pre-fabrication</w:t>
            </w:r>
            <w:r w:rsidR="00D43966" w:rsidRPr="000E0C38">
              <w:t xml:space="preserve"> are more likely to</w:t>
            </w:r>
            <w:r w:rsidR="00A35165" w:rsidRPr="000E0C38">
              <w:t xml:space="preserve"> emerge initially in</w:t>
            </w:r>
            <w:r w:rsidR="00D43966" w:rsidRPr="000E0C38">
              <w:t xml:space="preserve"> larger</w:t>
            </w:r>
            <w:r w:rsidR="00A35165" w:rsidRPr="000E0C38">
              <w:t>-</w:t>
            </w:r>
            <w:r w:rsidR="00D43966" w:rsidRPr="000E0C38">
              <w:t xml:space="preserve">scale construction projects, with greater involvement of foreign contractors and </w:t>
            </w:r>
            <w:r w:rsidR="00A35165" w:rsidRPr="000E0C38">
              <w:t xml:space="preserve">more complex </w:t>
            </w:r>
            <w:r w:rsidR="00D43966" w:rsidRPr="000E0C38">
              <w:t>supply chains.</w:t>
            </w:r>
            <w:r w:rsidR="0071379F" w:rsidRPr="000E0C38">
              <w:t xml:space="preserve"> </w:t>
            </w:r>
            <w:r w:rsidR="00A35165" w:rsidRPr="000E0C38">
              <w:t xml:space="preserve">Such scenarios favour investment in </w:t>
            </w:r>
            <w:r w:rsidR="00BA514E" w:rsidRPr="000E0C38">
              <w:t xml:space="preserve">worker </w:t>
            </w:r>
            <w:r w:rsidR="00A35165" w:rsidRPr="000E0C38">
              <w:t>upskilling and retraining (potentially moving up</w:t>
            </w:r>
            <w:r w:rsidR="00BA514E" w:rsidRPr="000E0C38">
              <w:t xml:space="preserve"> the supply chain </w:t>
            </w:r>
            <w:r w:rsidR="0071379F" w:rsidRPr="000E0C38">
              <w:t xml:space="preserve">into fabrication). </w:t>
            </w:r>
            <w:r w:rsidR="00A35165" w:rsidRPr="000E0C38">
              <w:t xml:space="preserve">The use of </w:t>
            </w:r>
            <w:r w:rsidR="00BA514E" w:rsidRPr="000E0C38">
              <w:t xml:space="preserve">the </w:t>
            </w:r>
            <w:r w:rsidR="00A35165" w:rsidRPr="000E0C38">
              <w:t>construction</w:t>
            </w:r>
            <w:r w:rsidR="00BA514E" w:rsidRPr="000E0C38">
              <w:t xml:space="preserve"> sector</w:t>
            </w:r>
            <w:r w:rsidR="00A35165" w:rsidRPr="000E0C38">
              <w:t xml:space="preserve"> to create lower skilled jobs is </w:t>
            </w:r>
            <w:r w:rsidRPr="000E0C38">
              <w:t xml:space="preserve">better done </w:t>
            </w:r>
            <w:r w:rsidR="00A35165" w:rsidRPr="000E0C38">
              <w:t xml:space="preserve">in market contexts </w:t>
            </w:r>
            <w:r w:rsidRPr="000E0C38">
              <w:t>where there is no immediate prospect of greater efficiency or economies of scale (i.e. in community</w:t>
            </w:r>
            <w:r w:rsidR="00A35165" w:rsidRPr="000E0C38">
              <w:t>-scale construction</w:t>
            </w:r>
            <w:r w:rsidRPr="000E0C38">
              <w:t xml:space="preserve"> </w:t>
            </w:r>
            <w:r w:rsidR="00A35165" w:rsidRPr="000E0C38">
              <w:t>works) or in poorer</w:t>
            </w:r>
            <w:r w:rsidR="0071379F" w:rsidRPr="000E0C38">
              <w:t xml:space="preserve"> </w:t>
            </w:r>
            <w:r w:rsidR="00BA514E" w:rsidRPr="000E0C38">
              <w:t>/</w:t>
            </w:r>
            <w:r w:rsidR="0071379F" w:rsidRPr="000E0C38">
              <w:t xml:space="preserve"> </w:t>
            </w:r>
            <w:r w:rsidR="00BA514E" w:rsidRPr="000E0C38">
              <w:t>low wage</w:t>
            </w:r>
            <w:r w:rsidR="00A35165" w:rsidRPr="000E0C38">
              <w:t xml:space="preserve"> markets </w:t>
            </w:r>
            <w:r w:rsidRPr="000E0C38">
              <w:t>where there is</w:t>
            </w:r>
            <w:r w:rsidR="00A35165" w:rsidRPr="000E0C38">
              <w:t xml:space="preserve"> less </w:t>
            </w:r>
            <w:r w:rsidR="00BA514E" w:rsidRPr="000E0C38">
              <w:t>immediate opportunity for improvements in efficiency.</w:t>
            </w:r>
          </w:p>
        </w:tc>
      </w:tr>
    </w:tbl>
    <w:p w14:paraId="3AF19CD0" w14:textId="77777777" w:rsidR="0067409F" w:rsidRPr="000E0C38" w:rsidRDefault="006A547C" w:rsidP="00452E90">
      <w:pPr>
        <w:pStyle w:val="Heading1"/>
        <w:framePr w:wrap="around"/>
      </w:pPr>
      <w:bookmarkStart w:id="48" w:name="_Toc498019414"/>
      <w:r w:rsidRPr="000E0C38">
        <w:lastRenderedPageBreak/>
        <w:t>Bibliography</w:t>
      </w:r>
      <w:bookmarkEnd w:id="48"/>
    </w:p>
    <w:p w14:paraId="62199CCB" w14:textId="77777777" w:rsidR="002E11F6" w:rsidRPr="000E0C38" w:rsidRDefault="002E11F6" w:rsidP="0071379F">
      <w:pPr>
        <w:pStyle w:val="BodyText"/>
      </w:pPr>
      <w:proofErr w:type="spellStart"/>
      <w:r w:rsidRPr="000E0C38">
        <w:t>Agung</w:t>
      </w:r>
      <w:proofErr w:type="spellEnd"/>
      <w:r w:rsidRPr="000E0C38">
        <w:t xml:space="preserve"> </w:t>
      </w:r>
      <w:proofErr w:type="spellStart"/>
      <w:r w:rsidRPr="000E0C38">
        <w:t>Wibowo</w:t>
      </w:r>
      <w:proofErr w:type="spellEnd"/>
      <w:r w:rsidRPr="000E0C38">
        <w:t>, M. (</w:t>
      </w:r>
      <w:proofErr w:type="spellStart"/>
      <w:r w:rsidRPr="000E0C38">
        <w:t>n.d.</w:t>
      </w:r>
      <w:proofErr w:type="spellEnd"/>
      <w:r w:rsidRPr="000E0C38">
        <w:t xml:space="preserve">) </w:t>
      </w:r>
      <w:proofErr w:type="gramStart"/>
      <w:r w:rsidRPr="000E0C38">
        <w:t>The</w:t>
      </w:r>
      <w:proofErr w:type="gramEnd"/>
      <w:r w:rsidRPr="000E0C38">
        <w:t xml:space="preserve"> contribution of the construction industry to the economy of Indonesia: A systematic approach. </w:t>
      </w:r>
      <w:hyperlink r:id="rId26" w:history="1">
        <w:r w:rsidRPr="000E0C38">
          <w:rPr>
            <w:rStyle w:val="Hyperlink"/>
            <w:color w:val="002060"/>
          </w:rPr>
          <w:t>http://eprints.undip.ac.id/387/1/Agung_Wibowo.pdf</w:t>
        </w:r>
      </w:hyperlink>
    </w:p>
    <w:p w14:paraId="0BA111A8" w14:textId="77777777" w:rsidR="002E11F6" w:rsidRPr="000E0C38" w:rsidRDefault="002E11F6" w:rsidP="0071379F">
      <w:pPr>
        <w:pStyle w:val="BodyText"/>
      </w:pPr>
      <w:r w:rsidRPr="000E0C38">
        <w:t>Antonopoulos, R. (2009), “Promoting Gender Equality through Stimulus Packages and Public Job Creation – Lessons Learned from South Africa’s Expanded Public Works Programme,” Public Policy Brief No. 101 (Annandale-on-Hudson, New York, Levy Economics Institute of Bard College).</w:t>
      </w:r>
    </w:p>
    <w:p w14:paraId="3D2F21D0"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BWI (</w:t>
      </w:r>
      <w:proofErr w:type="spellStart"/>
      <w:r w:rsidRPr="000E0C38">
        <w:rPr>
          <w:rFonts w:ascii="Arial" w:hAnsi="Arial" w:cs="Arial"/>
        </w:rPr>
        <w:t>n.d.</w:t>
      </w:r>
      <w:proofErr w:type="spellEnd"/>
      <w:r w:rsidRPr="000E0C38">
        <w:rPr>
          <w:rFonts w:ascii="Arial" w:hAnsi="Arial" w:cs="Arial"/>
        </w:rPr>
        <w:t>) BWI fights child labour.</w:t>
      </w:r>
      <w:r w:rsidRPr="000E0C38">
        <w:rPr>
          <w:rFonts w:ascii="Arial" w:hAnsi="Arial" w:cs="Arial"/>
          <w:color w:val="002060"/>
        </w:rPr>
        <w:t xml:space="preserve"> </w:t>
      </w:r>
      <w:hyperlink r:id="rId27" w:history="1">
        <w:r w:rsidRPr="000E0C38">
          <w:rPr>
            <w:rStyle w:val="Hyperlink"/>
            <w:rFonts w:ascii="Arial" w:hAnsi="Arial" w:cs="Arial"/>
            <w:color w:val="002060"/>
          </w:rPr>
          <w:t>http://connect.bwint.org/pdfs/Policy_papers_2_EN_HD.pdf</w:t>
        </w:r>
      </w:hyperlink>
    </w:p>
    <w:p w14:paraId="71CF54F7" w14:textId="60710413" w:rsidR="009311B2" w:rsidRPr="000E0C38" w:rsidRDefault="00AA0013" w:rsidP="009311B2">
      <w:pPr>
        <w:pStyle w:val="FootnoteText"/>
        <w:spacing w:after="240" w:line="260" w:lineRule="atLeast"/>
        <w:rPr>
          <w:rFonts w:ascii="Arial" w:hAnsi="Arial" w:cs="Arial"/>
        </w:rPr>
      </w:pPr>
      <w:proofErr w:type="spellStart"/>
      <w:r w:rsidRPr="000E0C38">
        <w:rPr>
          <w:rFonts w:ascii="Arial" w:hAnsi="Arial" w:cs="Arial"/>
        </w:rPr>
        <w:t>Orhan</w:t>
      </w:r>
      <w:proofErr w:type="spellEnd"/>
      <w:r w:rsidRPr="000E0C38">
        <w:rPr>
          <w:rFonts w:ascii="Arial" w:hAnsi="Arial" w:cs="Arial"/>
        </w:rPr>
        <w:t xml:space="preserve"> </w:t>
      </w:r>
      <w:proofErr w:type="spellStart"/>
      <w:r w:rsidRPr="000E0C38">
        <w:rPr>
          <w:rFonts w:ascii="Arial" w:hAnsi="Arial" w:cs="Arial"/>
        </w:rPr>
        <w:t>Çoban</w:t>
      </w:r>
      <w:proofErr w:type="spellEnd"/>
      <w:r w:rsidRPr="000E0C38">
        <w:rPr>
          <w:rFonts w:ascii="Arial" w:hAnsi="Arial" w:cs="Arial"/>
        </w:rPr>
        <w:t xml:space="preserve">, </w:t>
      </w:r>
      <w:proofErr w:type="spellStart"/>
      <w:r w:rsidRPr="000E0C38">
        <w:rPr>
          <w:rFonts w:ascii="Arial" w:hAnsi="Arial" w:cs="Arial"/>
        </w:rPr>
        <w:t>Emıne</w:t>
      </w:r>
      <w:proofErr w:type="spellEnd"/>
      <w:r w:rsidRPr="000E0C38">
        <w:rPr>
          <w:rFonts w:ascii="Arial" w:hAnsi="Arial" w:cs="Arial"/>
        </w:rPr>
        <w:t xml:space="preserve"> </w:t>
      </w:r>
      <w:proofErr w:type="spellStart"/>
      <w:r w:rsidRPr="000E0C38">
        <w:rPr>
          <w:rFonts w:ascii="Arial" w:hAnsi="Arial" w:cs="Arial"/>
        </w:rPr>
        <w:t>Üstündaĝ</w:t>
      </w:r>
      <w:proofErr w:type="spellEnd"/>
      <w:r w:rsidRPr="000E0C38">
        <w:rPr>
          <w:rFonts w:ascii="Arial" w:hAnsi="Arial" w:cs="Arial"/>
        </w:rPr>
        <w:t xml:space="preserve">, Ayşe </w:t>
      </w:r>
      <w:proofErr w:type="spellStart"/>
      <w:r w:rsidRPr="000E0C38">
        <w:rPr>
          <w:rFonts w:ascii="Arial" w:hAnsi="Arial" w:cs="Arial"/>
        </w:rPr>
        <w:t>Çoban</w:t>
      </w:r>
      <w:proofErr w:type="spellEnd"/>
      <w:r w:rsidRPr="000E0C38">
        <w:rPr>
          <w:rFonts w:ascii="Arial" w:hAnsi="Arial" w:cs="Arial"/>
        </w:rPr>
        <w:t xml:space="preserve"> (2015) The Structural Analysis Of Construction Sector Of Turkey And Its Effect On The Selected Macroeconomic Indicators.  </w:t>
      </w:r>
      <w:r w:rsidR="009311B2" w:rsidRPr="000E0C38">
        <w:rPr>
          <w:rFonts w:ascii="Arial" w:hAnsi="Arial" w:cs="Arial"/>
        </w:rPr>
        <w:t>Copernican Journal of Finance &amp; Accounting,</w:t>
      </w:r>
      <w:r w:rsidRPr="000E0C38">
        <w:rPr>
          <w:rFonts w:ascii="Arial" w:hAnsi="Arial" w:cs="Arial"/>
        </w:rPr>
        <w:t xml:space="preserve"> </w:t>
      </w:r>
      <w:r w:rsidR="009311B2" w:rsidRPr="000E0C38">
        <w:rPr>
          <w:rFonts w:ascii="Arial" w:hAnsi="Arial" w:cs="Arial"/>
        </w:rPr>
        <w:t>4(1),</w:t>
      </w:r>
      <w:r w:rsidRPr="000E0C38">
        <w:rPr>
          <w:rFonts w:ascii="Arial" w:hAnsi="Arial" w:cs="Arial"/>
        </w:rPr>
        <w:t xml:space="preserve"> </w:t>
      </w:r>
      <w:r w:rsidR="009311B2" w:rsidRPr="000E0C38">
        <w:rPr>
          <w:rFonts w:ascii="Arial" w:hAnsi="Arial" w:cs="Arial"/>
        </w:rPr>
        <w:t>27–44.</w:t>
      </w:r>
      <w:r w:rsidRPr="000E0C38">
        <w:rPr>
          <w:rFonts w:ascii="Arial" w:hAnsi="Arial" w:cs="Arial"/>
        </w:rPr>
        <w:t xml:space="preserve"> </w:t>
      </w:r>
      <w:r w:rsidR="009311B2" w:rsidRPr="000E0C38">
        <w:rPr>
          <w:rFonts w:ascii="Arial" w:hAnsi="Arial" w:cs="Arial"/>
        </w:rPr>
        <w:t>http://dx.doi.org/10.12775/CJFA.2015.002</w:t>
      </w:r>
    </w:p>
    <w:p w14:paraId="4BE8920C" w14:textId="18680AF2" w:rsidR="00583155" w:rsidRPr="000E0C38" w:rsidRDefault="00583155" w:rsidP="009311B2">
      <w:pPr>
        <w:pStyle w:val="FootnoteText"/>
        <w:spacing w:after="240" w:line="260" w:lineRule="atLeast"/>
        <w:rPr>
          <w:rFonts w:ascii="Arial" w:hAnsi="Arial" w:cs="Arial"/>
        </w:rPr>
      </w:pPr>
      <w:r w:rsidRPr="000E0C38">
        <w:rPr>
          <w:rFonts w:ascii="Arial" w:hAnsi="Arial" w:cs="Arial"/>
        </w:rPr>
        <w:t>Dang T.H.G., &amp; Low S.P. (2011). Role of construction in economic development: review of key concepts in the past 40 years. Habitat International, 35(2011), 118–125</w:t>
      </w:r>
    </w:p>
    <w:p w14:paraId="543102DA" w14:textId="7BF04734" w:rsidR="002E11F6" w:rsidRPr="000E0C38" w:rsidRDefault="002E11F6" w:rsidP="0071379F">
      <w:pPr>
        <w:pStyle w:val="FootnoteText"/>
        <w:spacing w:after="240" w:line="260" w:lineRule="atLeast"/>
        <w:rPr>
          <w:rFonts w:ascii="Arial" w:hAnsi="Arial" w:cs="Arial"/>
          <w:color w:val="002060"/>
        </w:rPr>
      </w:pPr>
      <w:proofErr w:type="spellStart"/>
      <w:r w:rsidRPr="000E0C38">
        <w:rPr>
          <w:rFonts w:ascii="Arial" w:hAnsi="Arial" w:cs="Arial"/>
        </w:rPr>
        <w:t>Dlamini</w:t>
      </w:r>
      <w:proofErr w:type="spellEnd"/>
      <w:r w:rsidRPr="000E0C38">
        <w:rPr>
          <w:rFonts w:ascii="Arial" w:hAnsi="Arial" w:cs="Arial"/>
        </w:rPr>
        <w:t xml:space="preserve"> (2012) Relationship of construction sector to economic growth. </w:t>
      </w:r>
      <w:hyperlink r:id="rId28" w:history="1">
        <w:r w:rsidRPr="000E0C38">
          <w:rPr>
            <w:rStyle w:val="Hyperlink"/>
            <w:rFonts w:ascii="Arial" w:hAnsi="Arial" w:cs="Arial"/>
            <w:color w:val="002060"/>
          </w:rPr>
          <w:t>http://www.sitsabo.co.za/docs/misc/cib_paper2012.pdf</w:t>
        </w:r>
      </w:hyperlink>
    </w:p>
    <w:p w14:paraId="77473A50"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 xml:space="preserve">Dollar, D. (2016) Setting the record straight on China’s engagement in Africa, Brookings. </w:t>
      </w:r>
      <w:hyperlink r:id="rId29" w:history="1">
        <w:r w:rsidRPr="000E0C38">
          <w:rPr>
            <w:rStyle w:val="Hyperlink"/>
            <w:rFonts w:ascii="Arial" w:hAnsi="Arial" w:cs="Arial"/>
            <w:color w:val="002060"/>
          </w:rPr>
          <w:t>https://www.brookings.edu/blog/order-from-chaos/2016/07/11/setting-the-record-straight-on-chinas-engagement-in-africa/</w:t>
        </w:r>
      </w:hyperlink>
      <w:r w:rsidRPr="000E0C38">
        <w:rPr>
          <w:rFonts w:ascii="Arial" w:hAnsi="Arial" w:cs="Arial"/>
          <w:color w:val="002060"/>
        </w:rPr>
        <w:t xml:space="preserve"> </w:t>
      </w:r>
    </w:p>
    <w:p w14:paraId="0294F618" w14:textId="77777777" w:rsidR="002E11F6" w:rsidRPr="000E0C38" w:rsidRDefault="002E11F6" w:rsidP="0071379F">
      <w:pPr>
        <w:spacing w:after="240" w:line="260" w:lineRule="atLeast"/>
        <w:rPr>
          <w:rFonts w:ascii="Arial" w:hAnsi="Arial" w:cs="Arial"/>
          <w:sz w:val="20"/>
          <w:szCs w:val="20"/>
        </w:rPr>
      </w:pPr>
      <w:r w:rsidRPr="000E0C38">
        <w:rPr>
          <w:rFonts w:ascii="Arial" w:hAnsi="Arial" w:cs="Arial"/>
          <w:sz w:val="20"/>
          <w:szCs w:val="20"/>
        </w:rPr>
        <w:t xml:space="preserve">Dong X. (2005) Long work hours, work scheduling and work-related injuries among construction workers in the United States. </w:t>
      </w:r>
      <w:proofErr w:type="spellStart"/>
      <w:r w:rsidRPr="000E0C38">
        <w:rPr>
          <w:rFonts w:ascii="Arial" w:hAnsi="Arial" w:cs="Arial"/>
          <w:sz w:val="20"/>
          <w:szCs w:val="20"/>
        </w:rPr>
        <w:t>Scand</w:t>
      </w:r>
      <w:proofErr w:type="spellEnd"/>
      <w:r w:rsidRPr="000E0C38">
        <w:rPr>
          <w:rFonts w:ascii="Arial" w:hAnsi="Arial" w:cs="Arial"/>
          <w:sz w:val="20"/>
          <w:szCs w:val="20"/>
        </w:rPr>
        <w:t xml:space="preserve"> J Work Environ Health. 2005</w:t>
      </w:r>
      <w:proofErr w:type="gramStart"/>
      <w:r w:rsidRPr="000E0C38">
        <w:rPr>
          <w:rFonts w:ascii="Arial" w:hAnsi="Arial" w:cs="Arial"/>
          <w:sz w:val="20"/>
          <w:szCs w:val="20"/>
        </w:rPr>
        <w:t>;31:329</w:t>
      </w:r>
      <w:proofErr w:type="gramEnd"/>
      <w:r w:rsidRPr="000E0C38">
        <w:rPr>
          <w:rFonts w:ascii="Arial" w:hAnsi="Arial" w:cs="Arial"/>
          <w:sz w:val="20"/>
          <w:szCs w:val="20"/>
        </w:rPr>
        <w:t xml:space="preserve">–35. </w:t>
      </w:r>
      <w:hyperlink r:id="rId30" w:history="1">
        <w:r w:rsidRPr="000E0C38">
          <w:rPr>
            <w:rStyle w:val="Hyperlink"/>
            <w:rFonts w:ascii="Arial" w:hAnsi="Arial" w:cs="Arial"/>
            <w:color w:val="002060"/>
            <w:sz w:val="20"/>
            <w:szCs w:val="20"/>
          </w:rPr>
          <w:t>https://www.ncbi.nlm.nih.gov/pubmed/16273958</w:t>
        </w:r>
      </w:hyperlink>
    </w:p>
    <w:p w14:paraId="0CEE3BC4" w14:textId="6A15ABE4" w:rsidR="00AA0013" w:rsidRPr="000E0C38" w:rsidRDefault="00AA0013" w:rsidP="0071379F">
      <w:pPr>
        <w:pStyle w:val="FootnoteText"/>
        <w:spacing w:after="240" w:line="260" w:lineRule="atLeast"/>
        <w:rPr>
          <w:rFonts w:ascii="Arial" w:hAnsi="Arial" w:cs="Arial"/>
        </w:rPr>
      </w:pPr>
      <w:r w:rsidRPr="000E0C38">
        <w:rPr>
          <w:rFonts w:ascii="Arial" w:hAnsi="Arial" w:cs="Arial"/>
        </w:rPr>
        <w:t>El-</w:t>
      </w:r>
      <w:proofErr w:type="spellStart"/>
      <w:r w:rsidR="00602B92" w:rsidRPr="000E0C38">
        <w:rPr>
          <w:rFonts w:ascii="Arial" w:hAnsi="Arial" w:cs="Arial"/>
        </w:rPr>
        <w:t>N</w:t>
      </w:r>
      <w:r w:rsidRPr="000E0C38">
        <w:rPr>
          <w:rFonts w:ascii="Arial" w:hAnsi="Arial" w:cs="Arial"/>
        </w:rPr>
        <w:t>amrouty</w:t>
      </w:r>
      <w:proofErr w:type="spellEnd"/>
      <w:r w:rsidRPr="000E0C38">
        <w:rPr>
          <w:rFonts w:ascii="Arial" w:hAnsi="Arial" w:cs="Arial"/>
        </w:rPr>
        <w:t xml:space="preserve"> K. (2012) </w:t>
      </w:r>
      <w:proofErr w:type="gramStart"/>
      <w:r w:rsidRPr="000E0C38">
        <w:rPr>
          <w:rFonts w:ascii="Arial" w:hAnsi="Arial" w:cs="Arial"/>
        </w:rPr>
        <w:t>The</w:t>
      </w:r>
      <w:proofErr w:type="gramEnd"/>
      <w:r w:rsidRPr="000E0C38">
        <w:rPr>
          <w:rFonts w:ascii="Arial" w:hAnsi="Arial" w:cs="Arial"/>
        </w:rPr>
        <w:t xml:space="preserve"> impact of construction sector on Palestinian economy –</w:t>
      </w:r>
      <w:r w:rsidR="00F86A3C" w:rsidRPr="000E0C38">
        <w:rPr>
          <w:rFonts w:ascii="Arial" w:hAnsi="Arial" w:cs="Arial"/>
        </w:rPr>
        <w:t xml:space="preserve"> </w:t>
      </w:r>
      <w:r w:rsidRPr="000E0C38">
        <w:rPr>
          <w:rFonts w:ascii="Arial" w:hAnsi="Arial" w:cs="Arial"/>
        </w:rPr>
        <w:t>case study (Gaza strip). American Academic and Scholarly Research Journal, Special</w:t>
      </w:r>
      <w:r w:rsidR="00F86A3C" w:rsidRPr="000E0C38">
        <w:rPr>
          <w:rFonts w:ascii="Arial" w:hAnsi="Arial" w:cs="Arial"/>
        </w:rPr>
        <w:t xml:space="preserve"> </w:t>
      </w:r>
      <w:r w:rsidRPr="000E0C38">
        <w:rPr>
          <w:rFonts w:ascii="Arial" w:hAnsi="Arial" w:cs="Arial"/>
        </w:rPr>
        <w:t>issue,</w:t>
      </w:r>
      <w:r w:rsidR="00F86A3C" w:rsidRPr="000E0C38">
        <w:rPr>
          <w:rFonts w:ascii="Arial" w:hAnsi="Arial" w:cs="Arial"/>
        </w:rPr>
        <w:t xml:space="preserve"> </w:t>
      </w:r>
      <w:r w:rsidRPr="000E0C38">
        <w:rPr>
          <w:rFonts w:ascii="Arial" w:hAnsi="Arial" w:cs="Arial"/>
        </w:rPr>
        <w:t>4(5).</w:t>
      </w:r>
    </w:p>
    <w:p w14:paraId="27B1A0E8" w14:textId="251760ED" w:rsidR="002E11F6" w:rsidRPr="000E0C38" w:rsidRDefault="002E11F6" w:rsidP="0071379F">
      <w:pPr>
        <w:pStyle w:val="FootnoteText"/>
        <w:spacing w:after="240" w:line="260" w:lineRule="atLeast"/>
        <w:rPr>
          <w:rFonts w:ascii="Arial" w:hAnsi="Arial" w:cs="Arial"/>
        </w:rPr>
      </w:pPr>
      <w:r w:rsidRPr="000E0C38">
        <w:rPr>
          <w:rFonts w:ascii="Arial" w:hAnsi="Arial" w:cs="Arial"/>
        </w:rPr>
        <w:t>FPRW-IPEC (2014). A health approach to child labour - Synthesis report of four country studies on child labour in the brick industry / International Labour Office,</w:t>
      </w:r>
    </w:p>
    <w:p w14:paraId="6476A1DF" w14:textId="77777777" w:rsidR="002E11F6" w:rsidRPr="000E0C38" w:rsidRDefault="002E11F6" w:rsidP="0071379F">
      <w:pPr>
        <w:spacing w:after="240" w:line="260" w:lineRule="atLeast"/>
        <w:rPr>
          <w:rFonts w:ascii="Arial" w:hAnsi="Arial" w:cs="Arial"/>
          <w:color w:val="002060"/>
          <w:sz w:val="20"/>
          <w:szCs w:val="20"/>
        </w:rPr>
      </w:pPr>
      <w:r w:rsidRPr="000E0C38">
        <w:rPr>
          <w:rFonts w:ascii="Arial" w:hAnsi="Arial" w:cs="Arial"/>
          <w:sz w:val="20"/>
          <w:szCs w:val="20"/>
        </w:rPr>
        <w:t xml:space="preserve">IPEC - Geneva: ILO. Pg. 4. </w:t>
      </w:r>
      <w:hyperlink r:id="rId31" w:history="1">
        <w:r w:rsidRPr="000E0C38">
          <w:rPr>
            <w:rStyle w:val="Hyperlink"/>
            <w:rFonts w:ascii="Arial" w:hAnsi="Arial" w:cs="Arial"/>
            <w:color w:val="002060"/>
            <w:sz w:val="20"/>
            <w:szCs w:val="20"/>
          </w:rPr>
          <w:t>http://www.ilo.org/ipec/Informationresources/WCMS_IPEC_PUB_25300/lang--en/index.htm</w:t>
        </w:r>
      </w:hyperlink>
    </w:p>
    <w:p w14:paraId="362CE4B1" w14:textId="77777777" w:rsidR="002E11F6" w:rsidRPr="000E0C38" w:rsidRDefault="002E11F6" w:rsidP="0071379F">
      <w:pPr>
        <w:spacing w:after="240" w:line="260" w:lineRule="atLeast"/>
        <w:rPr>
          <w:rFonts w:ascii="Arial" w:hAnsi="Arial" w:cs="Arial"/>
          <w:sz w:val="20"/>
          <w:szCs w:val="20"/>
        </w:rPr>
      </w:pPr>
      <w:r w:rsidRPr="000E0C38">
        <w:rPr>
          <w:rFonts w:ascii="Arial" w:hAnsi="Arial" w:cs="Arial"/>
          <w:sz w:val="20"/>
          <w:szCs w:val="20"/>
        </w:rPr>
        <w:t xml:space="preserve">Fraser, D., </w:t>
      </w:r>
      <w:proofErr w:type="spellStart"/>
      <w:r w:rsidRPr="000E0C38">
        <w:rPr>
          <w:rFonts w:ascii="Arial" w:hAnsi="Arial" w:cs="Arial"/>
          <w:sz w:val="20"/>
          <w:szCs w:val="20"/>
        </w:rPr>
        <w:t>Viswanath</w:t>
      </w:r>
      <w:proofErr w:type="gramStart"/>
      <w:r w:rsidRPr="000E0C38">
        <w:rPr>
          <w:rFonts w:ascii="Arial" w:hAnsi="Arial" w:cs="Arial"/>
          <w:sz w:val="20"/>
          <w:szCs w:val="20"/>
        </w:rPr>
        <w:t>,K</w:t>
      </w:r>
      <w:proofErr w:type="spellEnd"/>
      <w:proofErr w:type="gramEnd"/>
      <w:r w:rsidRPr="000E0C38">
        <w:rPr>
          <w:rFonts w:ascii="Arial" w:hAnsi="Arial" w:cs="Arial"/>
          <w:sz w:val="20"/>
          <w:szCs w:val="20"/>
        </w:rPr>
        <w:t>., and Maclean, L (2017) Violence against women and girls, Infrastructure and cities, Briefing Paper.</w:t>
      </w:r>
      <w:r w:rsidRPr="000E0C38">
        <w:rPr>
          <w:rFonts w:ascii="Arial" w:hAnsi="Arial" w:cs="Arial"/>
          <w:color w:val="002060"/>
          <w:sz w:val="20"/>
          <w:szCs w:val="20"/>
        </w:rPr>
        <w:t xml:space="preserve"> </w:t>
      </w:r>
      <w:hyperlink r:id="rId32" w:history="1">
        <w:r w:rsidRPr="000E0C38">
          <w:rPr>
            <w:rStyle w:val="Hyperlink"/>
            <w:rFonts w:ascii="Arial" w:hAnsi="Arial" w:cs="Arial"/>
            <w:color w:val="002060"/>
            <w:sz w:val="20"/>
            <w:szCs w:val="20"/>
          </w:rPr>
          <w:t>http://www.worldbank.org/en/topic/socialdevelopment/brief/violence-against-women-and-girls</w:t>
        </w:r>
      </w:hyperlink>
    </w:p>
    <w:p w14:paraId="734E3DBA" w14:textId="77777777" w:rsidR="002E11F6" w:rsidRPr="000E0C38" w:rsidRDefault="002E11F6" w:rsidP="0071379F">
      <w:pPr>
        <w:spacing w:after="240" w:line="260" w:lineRule="atLeast"/>
        <w:rPr>
          <w:rFonts w:ascii="Arial" w:hAnsi="Arial" w:cs="Arial"/>
          <w:sz w:val="20"/>
          <w:szCs w:val="20"/>
        </w:rPr>
      </w:pPr>
      <w:r w:rsidRPr="000E0C38">
        <w:rPr>
          <w:rFonts w:ascii="Arial" w:hAnsi="Arial" w:cs="Arial"/>
          <w:sz w:val="20"/>
          <w:szCs w:val="20"/>
        </w:rPr>
        <w:t xml:space="preserve">Forbes Insights (2012) Diversity &amp; Inclusion: Unlocking global potential: Global Diversity Rankings by Country, Sector and Occupation. </w:t>
      </w:r>
      <w:hyperlink r:id="rId33" w:history="1">
        <w:r w:rsidRPr="000E0C38">
          <w:rPr>
            <w:rStyle w:val="Hyperlink"/>
            <w:rFonts w:ascii="Arial" w:hAnsi="Arial" w:cs="Arial"/>
            <w:color w:val="002060"/>
            <w:sz w:val="20"/>
            <w:szCs w:val="20"/>
          </w:rPr>
          <w:t>https://www.forbes.com/forbesinsights/diversity_2012/</w:t>
        </w:r>
      </w:hyperlink>
    </w:p>
    <w:p w14:paraId="1BA30A33"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 xml:space="preserve">Global Construction Perspectives and Oxford Economics: </w:t>
      </w:r>
      <w:r w:rsidRPr="000E0C38">
        <w:rPr>
          <w:rFonts w:ascii="Arial" w:hAnsi="Arial" w:cs="Arial"/>
          <w:i/>
        </w:rPr>
        <w:t>Global Construction 2025: A global</w:t>
      </w:r>
      <w:r w:rsidR="0071379F" w:rsidRPr="000E0C38">
        <w:rPr>
          <w:rFonts w:ascii="Arial" w:hAnsi="Arial" w:cs="Arial"/>
          <w:i/>
        </w:rPr>
        <w:t xml:space="preserve"> </w:t>
      </w:r>
      <w:r w:rsidRPr="000E0C38">
        <w:rPr>
          <w:rFonts w:ascii="Arial" w:hAnsi="Arial" w:cs="Arial"/>
          <w:i/>
        </w:rPr>
        <w:t>forecast for the construction industry to 2025</w:t>
      </w:r>
      <w:r w:rsidRPr="000E0C38">
        <w:rPr>
          <w:rFonts w:ascii="Arial" w:hAnsi="Arial" w:cs="Arial"/>
        </w:rPr>
        <w:t>, 2013.</w:t>
      </w:r>
    </w:p>
    <w:p w14:paraId="58CB034B" w14:textId="757A0474" w:rsidR="002E11F6" w:rsidRPr="000E0C38" w:rsidRDefault="002E11F6" w:rsidP="0071379F">
      <w:pPr>
        <w:spacing w:after="240" w:line="260" w:lineRule="atLeast"/>
        <w:rPr>
          <w:rFonts w:ascii="Arial" w:hAnsi="Arial" w:cs="Arial"/>
          <w:sz w:val="20"/>
          <w:szCs w:val="20"/>
        </w:rPr>
      </w:pPr>
      <w:r w:rsidRPr="000E0C38">
        <w:rPr>
          <w:rFonts w:ascii="Arial" w:hAnsi="Arial" w:cs="Arial"/>
          <w:sz w:val="20"/>
          <w:szCs w:val="20"/>
        </w:rPr>
        <w:t>Grant Thor</w:t>
      </w:r>
      <w:r w:rsidR="00BD0976" w:rsidRPr="000E0C38">
        <w:rPr>
          <w:rFonts w:ascii="Arial" w:hAnsi="Arial" w:cs="Arial"/>
          <w:sz w:val="20"/>
          <w:szCs w:val="20"/>
        </w:rPr>
        <w:t>n</w:t>
      </w:r>
      <w:r w:rsidRPr="000E0C38">
        <w:rPr>
          <w:rFonts w:ascii="Arial" w:hAnsi="Arial" w:cs="Arial"/>
          <w:sz w:val="20"/>
          <w:szCs w:val="20"/>
        </w:rPr>
        <w:t xml:space="preserve">ton India (2016) </w:t>
      </w:r>
      <w:proofErr w:type="gramStart"/>
      <w:r w:rsidRPr="000E0C38">
        <w:rPr>
          <w:rFonts w:ascii="Arial" w:hAnsi="Arial" w:cs="Arial"/>
          <w:sz w:val="20"/>
          <w:szCs w:val="20"/>
        </w:rPr>
        <w:t>Overseas</w:t>
      </w:r>
      <w:proofErr w:type="gramEnd"/>
      <w:r w:rsidRPr="000E0C38">
        <w:rPr>
          <w:rFonts w:ascii="Arial" w:hAnsi="Arial" w:cs="Arial"/>
          <w:sz w:val="20"/>
          <w:szCs w:val="20"/>
        </w:rPr>
        <w:t xml:space="preserve"> migration patterns from India. </w:t>
      </w:r>
      <w:hyperlink r:id="rId34" w:history="1">
        <w:r w:rsidRPr="000E0C38">
          <w:rPr>
            <w:rStyle w:val="Hyperlink"/>
            <w:rFonts w:ascii="Arial" w:hAnsi="Arial" w:cs="Arial"/>
            <w:color w:val="002060"/>
            <w:sz w:val="20"/>
            <w:szCs w:val="20"/>
          </w:rPr>
          <w:t>http://aiggpa.mp.gov.in/images/files/KAIR/Knowledge-Resources/03-Employment/Publications/National/Overseas%20Migration%20Patterns%20from%20India,%202016.pdf</w:t>
        </w:r>
      </w:hyperlink>
    </w:p>
    <w:p w14:paraId="7F4A39FF" w14:textId="77777777" w:rsidR="002E11F6" w:rsidRPr="000E0C38" w:rsidRDefault="002E11F6" w:rsidP="0071379F">
      <w:pPr>
        <w:spacing w:after="240" w:line="260" w:lineRule="atLeast"/>
        <w:rPr>
          <w:rFonts w:ascii="Arial" w:hAnsi="Arial" w:cs="Arial"/>
          <w:sz w:val="20"/>
          <w:szCs w:val="20"/>
        </w:rPr>
      </w:pPr>
      <w:proofErr w:type="spellStart"/>
      <w:r w:rsidRPr="000E0C38">
        <w:rPr>
          <w:rFonts w:ascii="Arial" w:hAnsi="Arial" w:cs="Arial"/>
          <w:sz w:val="20"/>
          <w:szCs w:val="20"/>
        </w:rPr>
        <w:lastRenderedPageBreak/>
        <w:t>Gutman</w:t>
      </w:r>
      <w:proofErr w:type="spellEnd"/>
      <w:r w:rsidRPr="000E0C38">
        <w:rPr>
          <w:rFonts w:ascii="Arial" w:hAnsi="Arial" w:cs="Arial"/>
          <w:sz w:val="20"/>
          <w:szCs w:val="20"/>
        </w:rPr>
        <w:t xml:space="preserve">, J. et al. (2015) </w:t>
      </w:r>
      <w:proofErr w:type="gramStart"/>
      <w:r w:rsidRPr="000E0C38">
        <w:rPr>
          <w:rFonts w:ascii="Arial" w:hAnsi="Arial" w:cs="Arial"/>
          <w:sz w:val="20"/>
          <w:szCs w:val="20"/>
        </w:rPr>
        <w:t>Who</w:t>
      </w:r>
      <w:proofErr w:type="gramEnd"/>
      <w:r w:rsidRPr="000E0C38">
        <w:rPr>
          <w:rFonts w:ascii="Arial" w:hAnsi="Arial" w:cs="Arial"/>
          <w:sz w:val="20"/>
          <w:szCs w:val="20"/>
        </w:rPr>
        <w:t xml:space="preserve"> wins World Bank-financed government contracts? Four things we learned from the data, Brookings Institution.</w:t>
      </w:r>
      <w:r w:rsidRPr="000E0C38">
        <w:rPr>
          <w:rFonts w:ascii="Arial" w:hAnsi="Arial" w:cs="Arial"/>
          <w:color w:val="002060"/>
          <w:sz w:val="20"/>
          <w:szCs w:val="20"/>
        </w:rPr>
        <w:t xml:space="preserve"> </w:t>
      </w:r>
      <w:hyperlink r:id="rId35" w:history="1">
        <w:r w:rsidRPr="000E0C38">
          <w:rPr>
            <w:rStyle w:val="Hyperlink"/>
            <w:rFonts w:ascii="Arial" w:hAnsi="Arial" w:cs="Arial"/>
            <w:color w:val="002060"/>
            <w:sz w:val="20"/>
            <w:szCs w:val="20"/>
          </w:rPr>
          <w:t>https://www.brookings.edu/blog/africa-in-focus/2015/06/24/who-wins-world-bank-financed-government-contracts-four-things-we-learned-from-the-data-1-lingering-question/</w:t>
        </w:r>
      </w:hyperlink>
    </w:p>
    <w:p w14:paraId="5D9FDF1A"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 xml:space="preserve">Human Rights Watch (2014) World Report. </w:t>
      </w:r>
      <w:hyperlink r:id="rId36" w:history="1">
        <w:r w:rsidRPr="000E0C38">
          <w:rPr>
            <w:rStyle w:val="Hyperlink"/>
            <w:rFonts w:ascii="Arial" w:hAnsi="Arial" w:cs="Arial"/>
            <w:color w:val="002060"/>
          </w:rPr>
          <w:t>https://www.hrw.org/world-report/2014</w:t>
        </w:r>
      </w:hyperlink>
    </w:p>
    <w:p w14:paraId="593EBED6"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ILO (2001): The construction industry in the twenty first century: Its image, employment prospects and skill requirements.</w:t>
      </w:r>
      <w:r w:rsidRPr="000E0C38">
        <w:rPr>
          <w:rFonts w:ascii="Arial" w:hAnsi="Arial" w:cs="Arial"/>
          <w:color w:val="002060"/>
        </w:rPr>
        <w:t xml:space="preserve"> </w:t>
      </w:r>
      <w:hyperlink r:id="rId37" w:history="1">
        <w:r w:rsidRPr="000E0C38">
          <w:rPr>
            <w:rStyle w:val="Hyperlink"/>
            <w:rFonts w:ascii="Arial" w:hAnsi="Arial" w:cs="Arial"/>
            <w:color w:val="002060"/>
          </w:rPr>
          <w:t>http://www.ilo.org/global/publications/ilo-bookstore/order-online/books/WCMS_PUBL_9221126226_EN/lang--en/index.htm</w:t>
        </w:r>
      </w:hyperlink>
    </w:p>
    <w:p w14:paraId="572C0224"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 xml:space="preserve">ILO (2003) WISCON - Work Improvement in Small Construction Sites: Action checklist. </w:t>
      </w:r>
      <w:hyperlink r:id="rId38" w:history="1">
        <w:r w:rsidRPr="000E0C38">
          <w:rPr>
            <w:rStyle w:val="Hyperlink"/>
            <w:rFonts w:ascii="Arial" w:hAnsi="Arial" w:cs="Arial"/>
            <w:color w:val="002060"/>
          </w:rPr>
          <w:t>www.ilo.org/asia/publications/WCMS_110354/lang--</w:t>
        </w:r>
        <w:proofErr w:type="spellStart"/>
        <w:r w:rsidRPr="000E0C38">
          <w:rPr>
            <w:rStyle w:val="Hyperlink"/>
            <w:rFonts w:ascii="Arial" w:hAnsi="Arial" w:cs="Arial"/>
            <w:color w:val="002060"/>
          </w:rPr>
          <w:t>en</w:t>
        </w:r>
        <w:proofErr w:type="spellEnd"/>
        <w:r w:rsidRPr="000E0C38">
          <w:rPr>
            <w:rStyle w:val="Hyperlink"/>
            <w:rFonts w:ascii="Arial" w:hAnsi="Arial" w:cs="Arial"/>
            <w:color w:val="002060"/>
          </w:rPr>
          <w:t>/index.htm</w:t>
        </w:r>
      </w:hyperlink>
    </w:p>
    <w:p w14:paraId="4E5AF638" w14:textId="77777777" w:rsidR="002E11F6" w:rsidRPr="000E0C38" w:rsidRDefault="002E11F6" w:rsidP="0071379F">
      <w:pPr>
        <w:pStyle w:val="FootnoteText"/>
        <w:spacing w:after="240" w:line="260" w:lineRule="atLeast"/>
        <w:rPr>
          <w:rFonts w:ascii="Arial" w:hAnsi="Arial" w:cs="Arial"/>
          <w:color w:val="002060"/>
        </w:rPr>
      </w:pPr>
      <w:r w:rsidRPr="000E0C38">
        <w:rPr>
          <w:rFonts w:ascii="Arial" w:hAnsi="Arial" w:cs="Arial"/>
        </w:rPr>
        <w:t xml:space="preserve">ILO (2009) </w:t>
      </w:r>
      <w:proofErr w:type="gramStart"/>
      <w:r w:rsidRPr="000E0C38">
        <w:rPr>
          <w:rFonts w:ascii="Arial" w:hAnsi="Arial" w:cs="Arial"/>
        </w:rPr>
        <w:t>The</w:t>
      </w:r>
      <w:proofErr w:type="gramEnd"/>
      <w:r w:rsidRPr="000E0C38">
        <w:rPr>
          <w:rFonts w:ascii="Arial" w:hAnsi="Arial" w:cs="Arial"/>
        </w:rPr>
        <w:t xml:space="preserve"> informal economy in Africa: Promoting transition to formality: Challenges and strategies. </w:t>
      </w:r>
      <w:hyperlink r:id="rId39" w:history="1">
        <w:r w:rsidRPr="000E0C38">
          <w:rPr>
            <w:rStyle w:val="Hyperlink"/>
            <w:rFonts w:ascii="Arial" w:hAnsi="Arial" w:cs="Arial"/>
            <w:color w:val="002060"/>
          </w:rPr>
          <w:t>http://www.ilo.org/wcmsp5/groups/public/---</w:t>
        </w:r>
        <w:proofErr w:type="spellStart"/>
        <w:r w:rsidRPr="000E0C38">
          <w:rPr>
            <w:rStyle w:val="Hyperlink"/>
            <w:rFonts w:ascii="Arial" w:hAnsi="Arial" w:cs="Arial"/>
            <w:color w:val="002060"/>
          </w:rPr>
          <w:t>ed_emp</w:t>
        </w:r>
        <w:proofErr w:type="spellEnd"/>
        <w:r w:rsidRPr="000E0C38">
          <w:rPr>
            <w:rStyle w:val="Hyperlink"/>
            <w:rFonts w:ascii="Arial" w:hAnsi="Arial" w:cs="Arial"/>
            <w:color w:val="002060"/>
          </w:rPr>
          <w:t>/---</w:t>
        </w:r>
        <w:proofErr w:type="spellStart"/>
        <w:r w:rsidRPr="000E0C38">
          <w:rPr>
            <w:rStyle w:val="Hyperlink"/>
            <w:rFonts w:ascii="Arial" w:hAnsi="Arial" w:cs="Arial"/>
            <w:color w:val="002060"/>
          </w:rPr>
          <w:t>emp_policy</w:t>
        </w:r>
        <w:proofErr w:type="spellEnd"/>
        <w:r w:rsidRPr="000E0C38">
          <w:rPr>
            <w:rStyle w:val="Hyperlink"/>
            <w:rFonts w:ascii="Arial" w:hAnsi="Arial" w:cs="Arial"/>
            <w:color w:val="002060"/>
          </w:rPr>
          <w:t>/documents/publication/wcms_127814.pdf</w:t>
        </w:r>
      </w:hyperlink>
    </w:p>
    <w:p w14:paraId="12A4A5B4" w14:textId="77777777" w:rsidR="002E11F6" w:rsidRPr="000E0C38" w:rsidRDefault="002E11F6" w:rsidP="0071379F">
      <w:pPr>
        <w:pStyle w:val="FootnoteText"/>
        <w:spacing w:after="240" w:line="260" w:lineRule="atLeast"/>
        <w:rPr>
          <w:rFonts w:ascii="Arial" w:hAnsi="Arial" w:cs="Arial"/>
        </w:rPr>
      </w:pPr>
      <w:proofErr w:type="gramStart"/>
      <w:r w:rsidRPr="000E0C38">
        <w:rPr>
          <w:rFonts w:ascii="Arial" w:hAnsi="Arial" w:cs="Arial"/>
        </w:rPr>
        <w:t>ILO(</w:t>
      </w:r>
      <w:proofErr w:type="gramEnd"/>
      <w:r w:rsidRPr="000E0C38">
        <w:rPr>
          <w:rFonts w:ascii="Arial" w:hAnsi="Arial" w:cs="Arial"/>
        </w:rPr>
        <w:t xml:space="preserve">2011a) Children in hazardous work: What we know, what we need to know. </w:t>
      </w:r>
      <w:hyperlink r:id="rId40" w:history="1">
        <w:r w:rsidRPr="000E0C38">
          <w:rPr>
            <w:rStyle w:val="Hyperlink"/>
            <w:rFonts w:ascii="Arial" w:hAnsi="Arial" w:cs="Arial"/>
            <w:color w:val="002060"/>
          </w:rPr>
          <w:t>http://www.ilo.org/global/publications/ilo-bookstore/order-online/books/WCMS_155428/lang--en/index.htm</w:t>
        </w:r>
      </w:hyperlink>
    </w:p>
    <w:p w14:paraId="51759852"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 xml:space="preserve">ILO (2011b) Buried under Bricks – A Rapid Assessment of Bonded Labour in Brick Kilns of Afghanistan. </w:t>
      </w:r>
      <w:hyperlink r:id="rId41" w:history="1">
        <w:r w:rsidRPr="000E0C38">
          <w:rPr>
            <w:rStyle w:val="Hyperlink"/>
            <w:rFonts w:ascii="Arial" w:hAnsi="Arial" w:cs="Arial"/>
            <w:color w:val="002060"/>
          </w:rPr>
          <w:t>http://www.ilo.org/asia/publications/WCMS_172671/lang--</w:t>
        </w:r>
        <w:proofErr w:type="spellStart"/>
        <w:r w:rsidRPr="000E0C38">
          <w:rPr>
            <w:rStyle w:val="Hyperlink"/>
            <w:rFonts w:ascii="Arial" w:hAnsi="Arial" w:cs="Arial"/>
            <w:color w:val="002060"/>
          </w:rPr>
          <w:t>en</w:t>
        </w:r>
        <w:proofErr w:type="spellEnd"/>
        <w:r w:rsidRPr="000E0C38">
          <w:rPr>
            <w:rStyle w:val="Hyperlink"/>
            <w:rFonts w:ascii="Arial" w:hAnsi="Arial" w:cs="Arial"/>
            <w:color w:val="002060"/>
          </w:rPr>
          <w:t>/index.htm</w:t>
        </w:r>
      </w:hyperlink>
    </w:p>
    <w:p w14:paraId="276168E4"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ILO (2012) Improving livelihoods in key economic sectors of low-income settlements, training manual.</w:t>
      </w:r>
    </w:p>
    <w:p w14:paraId="5F01CA45"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 xml:space="preserve">ILO (2013) Women and men in the informal economy: A statistical picture. </w:t>
      </w:r>
      <w:hyperlink r:id="rId42" w:history="1">
        <w:r w:rsidRPr="000E0C38">
          <w:rPr>
            <w:rStyle w:val="Hyperlink"/>
            <w:rFonts w:ascii="Arial" w:hAnsi="Arial" w:cs="Arial"/>
            <w:color w:val="002060"/>
          </w:rPr>
          <w:t>http://www.ilo.org/wcmsp5/groups/public/---</w:t>
        </w:r>
        <w:proofErr w:type="spellStart"/>
        <w:r w:rsidRPr="000E0C38">
          <w:rPr>
            <w:rStyle w:val="Hyperlink"/>
            <w:rFonts w:ascii="Arial" w:hAnsi="Arial" w:cs="Arial"/>
            <w:color w:val="002060"/>
          </w:rPr>
          <w:t>dgreports</w:t>
        </w:r>
        <w:proofErr w:type="spellEnd"/>
        <w:r w:rsidRPr="000E0C38">
          <w:rPr>
            <w:rStyle w:val="Hyperlink"/>
            <w:rFonts w:ascii="Arial" w:hAnsi="Arial" w:cs="Arial"/>
            <w:color w:val="002060"/>
          </w:rPr>
          <w:t>/---stat/documents/publication/wcms_234413.pdf</w:t>
        </w:r>
      </w:hyperlink>
    </w:p>
    <w:p w14:paraId="62B991EE"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 xml:space="preserve">ILO (2013b) The Informal Economy and Decent Work: A Policy Resource Guide Supporting Transitions to Formality, Employment Policy Department, Geneva, 2013. </w:t>
      </w:r>
      <w:hyperlink r:id="rId43" w:history="1">
        <w:r w:rsidRPr="000E0C38">
          <w:rPr>
            <w:rStyle w:val="Hyperlink"/>
            <w:rFonts w:ascii="Arial" w:hAnsi="Arial" w:cs="Arial"/>
            <w:color w:val="002060"/>
          </w:rPr>
          <w:t>http://www.ilo.org/emppolicy/pubs/WCMS_212688/lang--</w:t>
        </w:r>
        <w:proofErr w:type="spellStart"/>
        <w:r w:rsidRPr="000E0C38">
          <w:rPr>
            <w:rStyle w:val="Hyperlink"/>
            <w:rFonts w:ascii="Arial" w:hAnsi="Arial" w:cs="Arial"/>
            <w:color w:val="002060"/>
          </w:rPr>
          <w:t>en</w:t>
        </w:r>
        <w:proofErr w:type="spellEnd"/>
        <w:r w:rsidRPr="000E0C38">
          <w:rPr>
            <w:rStyle w:val="Hyperlink"/>
            <w:rFonts w:ascii="Arial" w:hAnsi="Arial" w:cs="Arial"/>
            <w:color w:val="002060"/>
          </w:rPr>
          <w:t>/index.htm</w:t>
        </w:r>
      </w:hyperlink>
    </w:p>
    <w:p w14:paraId="042041A3" w14:textId="77777777" w:rsidR="002E11F6" w:rsidRPr="000E0C38" w:rsidRDefault="002E11F6" w:rsidP="0071379F">
      <w:pPr>
        <w:spacing w:after="240" w:line="260" w:lineRule="atLeast"/>
        <w:rPr>
          <w:rFonts w:ascii="Arial" w:hAnsi="Arial" w:cs="Arial"/>
          <w:sz w:val="20"/>
          <w:szCs w:val="20"/>
        </w:rPr>
      </w:pPr>
      <w:r w:rsidRPr="000E0C38">
        <w:rPr>
          <w:rFonts w:ascii="Arial" w:hAnsi="Arial" w:cs="Arial"/>
          <w:sz w:val="20"/>
          <w:szCs w:val="20"/>
        </w:rPr>
        <w:t xml:space="preserve">ILO (2014) Good working conditions good business? An analysis of Zambia’s building construction market system, the lab. </w:t>
      </w:r>
      <w:hyperlink r:id="rId44" w:history="1">
        <w:r w:rsidRPr="000E0C38">
          <w:rPr>
            <w:rStyle w:val="Hyperlink"/>
            <w:rFonts w:ascii="Arial" w:hAnsi="Arial" w:cs="Arial"/>
            <w:color w:val="002060"/>
            <w:sz w:val="20"/>
            <w:szCs w:val="20"/>
          </w:rPr>
          <w:t>http://www.ilo.org/wcmsp5/groups/public/---</w:t>
        </w:r>
        <w:proofErr w:type="spellStart"/>
        <w:r w:rsidRPr="000E0C38">
          <w:rPr>
            <w:rStyle w:val="Hyperlink"/>
            <w:rFonts w:ascii="Arial" w:hAnsi="Arial" w:cs="Arial"/>
            <w:color w:val="002060"/>
            <w:sz w:val="20"/>
            <w:szCs w:val="20"/>
          </w:rPr>
          <w:t>ed_emp</w:t>
        </w:r>
        <w:proofErr w:type="spellEnd"/>
        <w:r w:rsidRPr="000E0C38">
          <w:rPr>
            <w:rStyle w:val="Hyperlink"/>
            <w:rFonts w:ascii="Arial" w:hAnsi="Arial" w:cs="Arial"/>
            <w:color w:val="002060"/>
            <w:sz w:val="20"/>
            <w:szCs w:val="20"/>
          </w:rPr>
          <w:t>/---</w:t>
        </w:r>
        <w:proofErr w:type="spellStart"/>
        <w:r w:rsidRPr="000E0C38">
          <w:rPr>
            <w:rStyle w:val="Hyperlink"/>
            <w:rFonts w:ascii="Arial" w:hAnsi="Arial" w:cs="Arial"/>
            <w:color w:val="002060"/>
            <w:sz w:val="20"/>
            <w:szCs w:val="20"/>
          </w:rPr>
          <w:t>emp_ent</w:t>
        </w:r>
        <w:proofErr w:type="spellEnd"/>
        <w:r w:rsidRPr="000E0C38">
          <w:rPr>
            <w:rStyle w:val="Hyperlink"/>
            <w:rFonts w:ascii="Arial" w:hAnsi="Arial" w:cs="Arial"/>
            <w:color w:val="002060"/>
            <w:sz w:val="20"/>
            <w:szCs w:val="20"/>
          </w:rPr>
          <w:t>/---</w:t>
        </w:r>
        <w:proofErr w:type="spellStart"/>
        <w:r w:rsidRPr="000E0C38">
          <w:rPr>
            <w:rStyle w:val="Hyperlink"/>
            <w:rFonts w:ascii="Arial" w:hAnsi="Arial" w:cs="Arial"/>
            <w:color w:val="002060"/>
            <w:sz w:val="20"/>
            <w:szCs w:val="20"/>
          </w:rPr>
          <w:t>ifp_seed</w:t>
        </w:r>
        <w:proofErr w:type="spellEnd"/>
        <w:r w:rsidRPr="000E0C38">
          <w:rPr>
            <w:rStyle w:val="Hyperlink"/>
            <w:rFonts w:ascii="Arial" w:hAnsi="Arial" w:cs="Arial"/>
            <w:color w:val="002060"/>
            <w:sz w:val="20"/>
            <w:szCs w:val="20"/>
          </w:rPr>
          <w:t>/documents/</w:t>
        </w:r>
        <w:proofErr w:type="spellStart"/>
        <w:r w:rsidRPr="000E0C38">
          <w:rPr>
            <w:rStyle w:val="Hyperlink"/>
            <w:rFonts w:ascii="Arial" w:hAnsi="Arial" w:cs="Arial"/>
            <w:color w:val="002060"/>
            <w:sz w:val="20"/>
            <w:szCs w:val="20"/>
          </w:rPr>
          <w:t>briefingnote</w:t>
        </w:r>
        <w:proofErr w:type="spellEnd"/>
        <w:r w:rsidRPr="000E0C38">
          <w:rPr>
            <w:rStyle w:val="Hyperlink"/>
            <w:rFonts w:ascii="Arial" w:hAnsi="Arial" w:cs="Arial"/>
            <w:color w:val="002060"/>
            <w:sz w:val="20"/>
            <w:szCs w:val="20"/>
          </w:rPr>
          <w:t>/wcms_364076.pdf</w:t>
        </w:r>
      </w:hyperlink>
    </w:p>
    <w:p w14:paraId="6482CC73" w14:textId="70DC60E4" w:rsidR="002E11F6" w:rsidRPr="000E0C38" w:rsidRDefault="002E11F6" w:rsidP="0071379F">
      <w:pPr>
        <w:spacing w:after="240" w:line="260" w:lineRule="atLeast"/>
        <w:rPr>
          <w:rFonts w:ascii="Arial" w:hAnsi="Arial" w:cs="Arial"/>
          <w:color w:val="002060"/>
          <w:sz w:val="20"/>
          <w:szCs w:val="20"/>
        </w:rPr>
      </w:pPr>
      <w:r w:rsidRPr="000E0C38">
        <w:rPr>
          <w:rFonts w:ascii="Arial" w:hAnsi="Arial" w:cs="Arial"/>
          <w:sz w:val="20"/>
          <w:szCs w:val="20"/>
        </w:rPr>
        <w:t xml:space="preserve">ILO (2015a). World Employment Social Outlook (WESO): Trends 2015, ILO WESO database 2015. </w:t>
      </w:r>
      <w:hyperlink r:id="rId45" w:history="1">
        <w:r w:rsidR="00DA695F" w:rsidRPr="000E0C38">
          <w:rPr>
            <w:rStyle w:val="Hyperlink"/>
            <w:rFonts w:ascii="Arial" w:hAnsi="Arial" w:cs="Arial"/>
            <w:color w:val="1F295F" w:themeColor="accent1" w:themeShade="BF"/>
            <w:sz w:val="20"/>
            <w:szCs w:val="20"/>
          </w:rPr>
          <w:t>http://www.ilo.org/global/research/global-reports/weso/2015/lang--en/index.htm</w:t>
        </w:r>
      </w:hyperlink>
    </w:p>
    <w:p w14:paraId="08EA4780" w14:textId="77777777" w:rsidR="002E11F6" w:rsidRPr="000E0C38" w:rsidRDefault="002E11F6" w:rsidP="0071379F">
      <w:pPr>
        <w:pStyle w:val="BodyText"/>
      </w:pPr>
      <w:r w:rsidRPr="000E0C38">
        <w:t xml:space="preserve">ILO (2015b) ILO global estimates on migrant workers: Results and Methodology. </w:t>
      </w:r>
      <w:hyperlink r:id="rId46" w:history="1">
        <w:r w:rsidRPr="000E0C38">
          <w:rPr>
            <w:rStyle w:val="Hyperlink"/>
            <w:color w:val="002060"/>
          </w:rPr>
          <w:t>http://www.ilo.org/global/topics/labour-migration/publications/WCMS_436343/lang--en/index.htm</w:t>
        </w:r>
      </w:hyperlink>
    </w:p>
    <w:p w14:paraId="1EC5A64F" w14:textId="77777777" w:rsidR="002E11F6" w:rsidRPr="000E0C38" w:rsidRDefault="002E11F6" w:rsidP="0071379F">
      <w:pPr>
        <w:pStyle w:val="BodyText"/>
      </w:pPr>
      <w:r w:rsidRPr="000E0C38">
        <w:t xml:space="preserve">ILO (2015c), Good Practices and Challenges in Promoting Decent Work in Construction and Infrastructure Projects. </w:t>
      </w:r>
      <w:hyperlink r:id="rId47" w:history="1">
        <w:r w:rsidRPr="000E0C38">
          <w:rPr>
            <w:rStyle w:val="Hyperlink"/>
            <w:color w:val="002060"/>
          </w:rPr>
          <w:t>http://www.ilo.org/wcmsp5/groups/public/---</w:t>
        </w:r>
        <w:proofErr w:type="spellStart"/>
        <w:r w:rsidRPr="000E0C38">
          <w:rPr>
            <w:rStyle w:val="Hyperlink"/>
            <w:color w:val="002060"/>
          </w:rPr>
          <w:t>ed_dialogue</w:t>
        </w:r>
        <w:proofErr w:type="spellEnd"/>
        <w:r w:rsidRPr="000E0C38">
          <w:rPr>
            <w:rStyle w:val="Hyperlink"/>
            <w:color w:val="002060"/>
          </w:rPr>
          <w:t>/---sector/documents/publication/wcms_416378.pdf</w:t>
        </w:r>
      </w:hyperlink>
      <w:r w:rsidRPr="000E0C38">
        <w:rPr>
          <w:color w:val="002060"/>
        </w:rPr>
        <w:t xml:space="preserve"> </w:t>
      </w:r>
    </w:p>
    <w:p w14:paraId="1F89F001" w14:textId="77777777" w:rsidR="002E11F6" w:rsidRPr="000E0C38" w:rsidRDefault="002E11F6" w:rsidP="0071379F">
      <w:pPr>
        <w:pStyle w:val="BodyText"/>
      </w:pPr>
      <w:proofErr w:type="gramStart"/>
      <w:r w:rsidRPr="000E0C38">
        <w:t>ILO(</w:t>
      </w:r>
      <w:proofErr w:type="gramEnd"/>
      <w:r w:rsidRPr="000E0C38">
        <w:t xml:space="preserve">2015d) World Social Protection Report 2014-15 Building economic recovery, inclusive development and social justice </w:t>
      </w:r>
      <w:hyperlink r:id="rId48" w:history="1">
        <w:r w:rsidRPr="000E0C38">
          <w:rPr>
            <w:rStyle w:val="Hyperlink"/>
            <w:color w:val="002060"/>
          </w:rPr>
          <w:t>http://www.ilo.org/wcmsp5/groups/public/---</w:t>
        </w:r>
        <w:proofErr w:type="spellStart"/>
        <w:r w:rsidRPr="000E0C38">
          <w:rPr>
            <w:rStyle w:val="Hyperlink"/>
            <w:color w:val="002060"/>
          </w:rPr>
          <w:t>dgreports</w:t>
        </w:r>
        <w:proofErr w:type="spellEnd"/>
        <w:r w:rsidRPr="000E0C38">
          <w:rPr>
            <w:rStyle w:val="Hyperlink"/>
            <w:color w:val="002060"/>
          </w:rPr>
          <w:t>/---</w:t>
        </w:r>
        <w:proofErr w:type="spellStart"/>
        <w:r w:rsidRPr="000E0C38">
          <w:rPr>
            <w:rStyle w:val="Hyperlink"/>
            <w:color w:val="002060"/>
          </w:rPr>
          <w:t>dcomm</w:t>
        </w:r>
        <w:proofErr w:type="spellEnd"/>
        <w:r w:rsidRPr="000E0C38">
          <w:rPr>
            <w:rStyle w:val="Hyperlink"/>
            <w:color w:val="002060"/>
          </w:rPr>
          <w:t>/documents/publication/wcms_245201.pdf</w:t>
        </w:r>
      </w:hyperlink>
    </w:p>
    <w:p w14:paraId="09C91EE6" w14:textId="77777777" w:rsidR="002E11F6" w:rsidRPr="000E0C38" w:rsidRDefault="002E11F6" w:rsidP="0071379F">
      <w:pPr>
        <w:pStyle w:val="BodyText"/>
      </w:pPr>
      <w:r w:rsidRPr="000E0C38">
        <w:t xml:space="preserve">ILO (2015e), The role of construction </w:t>
      </w:r>
      <w:proofErr w:type="gramStart"/>
      <w:r w:rsidRPr="000E0C38">
        <w:t>as  an</w:t>
      </w:r>
      <w:proofErr w:type="gramEnd"/>
      <w:r w:rsidRPr="000E0C38">
        <w:t xml:space="preserve"> employment provider: A world-wide input-output analysis </w:t>
      </w:r>
      <w:hyperlink r:id="rId49" w:history="1">
        <w:r w:rsidRPr="000E0C38">
          <w:rPr>
            <w:rStyle w:val="Hyperlink"/>
            <w:color w:val="002060"/>
          </w:rPr>
          <w:t>http://www.ilo.org/wcmsp5/groups/public/---</w:t>
        </w:r>
        <w:proofErr w:type="spellStart"/>
        <w:r w:rsidRPr="000E0C38">
          <w:rPr>
            <w:rStyle w:val="Hyperlink"/>
            <w:color w:val="002060"/>
          </w:rPr>
          <w:t>ed_emp</w:t>
        </w:r>
        <w:proofErr w:type="spellEnd"/>
        <w:r w:rsidRPr="000E0C38">
          <w:rPr>
            <w:rStyle w:val="Hyperlink"/>
            <w:color w:val="002060"/>
          </w:rPr>
          <w:t>/---</w:t>
        </w:r>
        <w:proofErr w:type="spellStart"/>
        <w:r w:rsidRPr="000E0C38">
          <w:rPr>
            <w:rStyle w:val="Hyperlink"/>
            <w:color w:val="002060"/>
          </w:rPr>
          <w:t>emp_policy</w:t>
        </w:r>
        <w:proofErr w:type="spellEnd"/>
        <w:r w:rsidRPr="000E0C38">
          <w:rPr>
            <w:rStyle w:val="Hyperlink"/>
            <w:color w:val="002060"/>
          </w:rPr>
          <w:t>/---invest/documents/publication/wcms_444326.pdf</w:t>
        </w:r>
      </w:hyperlink>
      <w:r w:rsidRPr="000E0C38">
        <w:rPr>
          <w:color w:val="002060"/>
        </w:rPr>
        <w:t xml:space="preserve"> </w:t>
      </w:r>
    </w:p>
    <w:p w14:paraId="03B30A71" w14:textId="77777777" w:rsidR="002E11F6" w:rsidRPr="000E0C38" w:rsidRDefault="002E11F6" w:rsidP="0071379F">
      <w:pPr>
        <w:pStyle w:val="BodyText"/>
      </w:pPr>
      <w:r w:rsidRPr="000E0C38">
        <w:lastRenderedPageBreak/>
        <w:t xml:space="preserve">ILO (2015f), </w:t>
      </w:r>
      <w:proofErr w:type="gramStart"/>
      <w:r w:rsidRPr="000E0C38">
        <w:t>The</w:t>
      </w:r>
      <w:proofErr w:type="gramEnd"/>
      <w:r w:rsidRPr="000E0C38">
        <w:t xml:space="preserve"> employment dimension of infrastructure investments A guide for employment impact assessment </w:t>
      </w:r>
      <w:hyperlink r:id="rId50" w:history="1">
        <w:r w:rsidRPr="000E0C38">
          <w:rPr>
            <w:rStyle w:val="Hyperlink"/>
            <w:color w:val="002060"/>
          </w:rPr>
          <w:t>http://www.ilo.org/wcmsp5/groups/public/---</w:t>
        </w:r>
        <w:proofErr w:type="spellStart"/>
        <w:r w:rsidRPr="000E0C38">
          <w:rPr>
            <w:rStyle w:val="Hyperlink"/>
            <w:color w:val="002060"/>
          </w:rPr>
          <w:t>ed_emp</w:t>
        </w:r>
        <w:proofErr w:type="spellEnd"/>
        <w:r w:rsidRPr="000E0C38">
          <w:rPr>
            <w:rStyle w:val="Hyperlink"/>
            <w:color w:val="002060"/>
          </w:rPr>
          <w:t>/---</w:t>
        </w:r>
        <w:proofErr w:type="spellStart"/>
        <w:r w:rsidRPr="000E0C38">
          <w:rPr>
            <w:rStyle w:val="Hyperlink"/>
            <w:color w:val="002060"/>
          </w:rPr>
          <w:t>emp_policy</w:t>
        </w:r>
        <w:proofErr w:type="spellEnd"/>
        <w:r w:rsidRPr="000E0C38">
          <w:rPr>
            <w:rStyle w:val="Hyperlink"/>
            <w:color w:val="002060"/>
          </w:rPr>
          <w:t>/---invest/documents/publication/wcms_426586.pdf</w:t>
        </w:r>
      </w:hyperlink>
      <w:r w:rsidRPr="000E0C38">
        <w:rPr>
          <w:color w:val="002060"/>
        </w:rPr>
        <w:t xml:space="preserve"> </w:t>
      </w:r>
    </w:p>
    <w:p w14:paraId="06A43CF6" w14:textId="77777777" w:rsidR="002E11F6" w:rsidRPr="000E0C38" w:rsidRDefault="002E11F6" w:rsidP="0071379F">
      <w:pPr>
        <w:pStyle w:val="BodyText"/>
      </w:pPr>
      <w:r w:rsidRPr="000E0C38">
        <w:t xml:space="preserve">ILO (2015g), Public works programmes: A strategy for poverty alleviation </w:t>
      </w:r>
      <w:proofErr w:type="gramStart"/>
      <w:r w:rsidRPr="000E0C38">
        <w:t>The</w:t>
      </w:r>
      <w:proofErr w:type="gramEnd"/>
      <w:r w:rsidRPr="000E0C38">
        <w:t xml:space="preserve"> gender dimension revisited in Employment-Intensive Investment Programmes in 30 countries in Africa, Asia, Latin America and the Caribbean </w:t>
      </w:r>
      <w:hyperlink r:id="rId51" w:history="1">
        <w:r w:rsidRPr="000E0C38">
          <w:rPr>
            <w:rStyle w:val="Hyperlink"/>
            <w:color w:val="002060"/>
          </w:rPr>
          <w:t>http://www.ilo.org/wcmsp5/groups/public/---</w:t>
        </w:r>
        <w:proofErr w:type="spellStart"/>
        <w:r w:rsidRPr="000E0C38">
          <w:rPr>
            <w:rStyle w:val="Hyperlink"/>
            <w:color w:val="002060"/>
          </w:rPr>
          <w:t>ed_emp</w:t>
        </w:r>
        <w:proofErr w:type="spellEnd"/>
        <w:r w:rsidRPr="000E0C38">
          <w:rPr>
            <w:rStyle w:val="Hyperlink"/>
            <w:color w:val="002060"/>
          </w:rPr>
          <w:t>/---</w:t>
        </w:r>
        <w:proofErr w:type="spellStart"/>
        <w:r w:rsidRPr="000E0C38">
          <w:rPr>
            <w:rStyle w:val="Hyperlink"/>
            <w:color w:val="002060"/>
          </w:rPr>
          <w:t>emp_policy</w:t>
        </w:r>
        <w:proofErr w:type="spellEnd"/>
        <w:r w:rsidRPr="000E0C38">
          <w:rPr>
            <w:rStyle w:val="Hyperlink"/>
            <w:color w:val="002060"/>
          </w:rPr>
          <w:t>/---invest/documents/publication/wcms_426588.pdf</w:t>
        </w:r>
      </w:hyperlink>
      <w:r w:rsidRPr="000E0C38">
        <w:rPr>
          <w:color w:val="002060"/>
        </w:rPr>
        <w:t xml:space="preserve"> </w:t>
      </w:r>
    </w:p>
    <w:p w14:paraId="65C36DC6"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 xml:space="preserve">ILO (2016) Migrant Work &amp; Employment in the Construction Sector. </w:t>
      </w:r>
      <w:hyperlink r:id="rId52" w:history="1">
        <w:r w:rsidRPr="000E0C38">
          <w:rPr>
            <w:rStyle w:val="Hyperlink"/>
            <w:rFonts w:ascii="Arial" w:hAnsi="Arial" w:cs="Arial"/>
            <w:color w:val="002060"/>
          </w:rPr>
          <w:t>http://www.ilo.org/wcmsp5/groups/public/---</w:t>
        </w:r>
        <w:proofErr w:type="spellStart"/>
        <w:r w:rsidRPr="000E0C38">
          <w:rPr>
            <w:rStyle w:val="Hyperlink"/>
            <w:rFonts w:ascii="Arial" w:hAnsi="Arial" w:cs="Arial"/>
            <w:color w:val="002060"/>
          </w:rPr>
          <w:t>ed_protect</w:t>
        </w:r>
        <w:proofErr w:type="spellEnd"/>
        <w:r w:rsidRPr="000E0C38">
          <w:rPr>
            <w:rStyle w:val="Hyperlink"/>
            <w:rFonts w:ascii="Arial" w:hAnsi="Arial" w:cs="Arial"/>
            <w:color w:val="002060"/>
          </w:rPr>
          <w:t>/---</w:t>
        </w:r>
        <w:proofErr w:type="spellStart"/>
        <w:r w:rsidRPr="000E0C38">
          <w:rPr>
            <w:rStyle w:val="Hyperlink"/>
            <w:rFonts w:ascii="Arial" w:hAnsi="Arial" w:cs="Arial"/>
            <w:color w:val="002060"/>
          </w:rPr>
          <w:t>protrav</w:t>
        </w:r>
        <w:proofErr w:type="spellEnd"/>
        <w:r w:rsidRPr="000E0C38">
          <w:rPr>
            <w:rStyle w:val="Hyperlink"/>
            <w:rFonts w:ascii="Arial" w:hAnsi="Arial" w:cs="Arial"/>
            <w:color w:val="002060"/>
          </w:rPr>
          <w:t>/---migrant/documents/publication/wcms_538487.pdf</w:t>
        </w:r>
      </w:hyperlink>
    </w:p>
    <w:p w14:paraId="15573EEA"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ILO (2017a) Rapid market assessment of Malawi's construction sector.</w:t>
      </w:r>
    </w:p>
    <w:p w14:paraId="4F1565C2"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 xml:space="preserve">ILO (2017b) Roads for Development (R4D) - Final Independent Evaluation </w:t>
      </w:r>
      <w:hyperlink r:id="rId53" w:history="1">
        <w:r w:rsidRPr="000E0C38">
          <w:rPr>
            <w:rStyle w:val="Hyperlink"/>
            <w:rFonts w:ascii="Arial" w:hAnsi="Arial" w:cs="Arial"/>
            <w:color w:val="002060"/>
          </w:rPr>
          <w:t>http://www.ilo.org/wcmsp5/groups/public/---</w:t>
        </w:r>
        <w:proofErr w:type="spellStart"/>
        <w:r w:rsidRPr="000E0C38">
          <w:rPr>
            <w:rStyle w:val="Hyperlink"/>
            <w:rFonts w:ascii="Arial" w:hAnsi="Arial" w:cs="Arial"/>
            <w:color w:val="002060"/>
          </w:rPr>
          <w:t>ed_mas</w:t>
        </w:r>
        <w:proofErr w:type="spellEnd"/>
        <w:r w:rsidRPr="000E0C38">
          <w:rPr>
            <w:rStyle w:val="Hyperlink"/>
            <w:rFonts w:ascii="Arial" w:hAnsi="Arial" w:cs="Arial"/>
            <w:color w:val="002060"/>
          </w:rPr>
          <w:t>/---</w:t>
        </w:r>
        <w:proofErr w:type="spellStart"/>
        <w:r w:rsidRPr="000E0C38">
          <w:rPr>
            <w:rStyle w:val="Hyperlink"/>
            <w:rFonts w:ascii="Arial" w:hAnsi="Arial" w:cs="Arial"/>
            <w:color w:val="002060"/>
          </w:rPr>
          <w:t>eval</w:t>
        </w:r>
        <w:proofErr w:type="spellEnd"/>
        <w:r w:rsidRPr="000E0C38">
          <w:rPr>
            <w:rStyle w:val="Hyperlink"/>
            <w:rFonts w:ascii="Arial" w:hAnsi="Arial" w:cs="Arial"/>
            <w:color w:val="002060"/>
          </w:rPr>
          <w:t>/documents/publication/wcms_551744.pdf</w:t>
        </w:r>
      </w:hyperlink>
      <w:r w:rsidRPr="000E0C38">
        <w:rPr>
          <w:rFonts w:ascii="Arial" w:hAnsi="Arial" w:cs="Arial"/>
          <w:color w:val="002060"/>
        </w:rPr>
        <w:t xml:space="preserve"> </w:t>
      </w:r>
    </w:p>
    <w:p w14:paraId="02ED99A6" w14:textId="3BFC288A" w:rsidR="002E11F6" w:rsidRPr="000E0C38" w:rsidRDefault="002E11F6" w:rsidP="0071379F">
      <w:pPr>
        <w:pStyle w:val="FootnoteText"/>
        <w:spacing w:after="240" w:line="260" w:lineRule="atLeast"/>
        <w:rPr>
          <w:rFonts w:ascii="Arial" w:hAnsi="Arial" w:cs="Arial"/>
        </w:rPr>
      </w:pPr>
      <w:r w:rsidRPr="000E0C38">
        <w:rPr>
          <w:rFonts w:ascii="Arial" w:hAnsi="Arial" w:cs="Arial"/>
        </w:rPr>
        <w:t>ILO</w:t>
      </w:r>
      <w:r w:rsidR="00BD0976" w:rsidRPr="000E0C38">
        <w:rPr>
          <w:rFonts w:ascii="Arial" w:hAnsi="Arial" w:cs="Arial"/>
        </w:rPr>
        <w:t xml:space="preserve"> </w:t>
      </w:r>
      <w:r w:rsidRPr="000E0C38">
        <w:rPr>
          <w:rFonts w:ascii="Arial" w:hAnsi="Arial" w:cs="Arial"/>
        </w:rPr>
        <w:t xml:space="preserve">(2017c) Way </w:t>
      </w:r>
      <w:proofErr w:type="gramStart"/>
      <w:r w:rsidRPr="000E0C38">
        <w:rPr>
          <w:rFonts w:ascii="Arial" w:hAnsi="Arial" w:cs="Arial"/>
        </w:rPr>
        <w:t>Out</w:t>
      </w:r>
      <w:proofErr w:type="gramEnd"/>
      <w:r w:rsidRPr="000E0C38">
        <w:rPr>
          <w:rFonts w:ascii="Arial" w:hAnsi="Arial" w:cs="Arial"/>
        </w:rPr>
        <w:t xml:space="preserve"> of Informality: Facilitating Formalization of Informal Economy in South Asia - Final Evaluation </w:t>
      </w:r>
      <w:hyperlink r:id="rId54" w:history="1">
        <w:r w:rsidRPr="000E0C38">
          <w:rPr>
            <w:rStyle w:val="Hyperlink"/>
            <w:rFonts w:ascii="Arial" w:hAnsi="Arial" w:cs="Arial"/>
            <w:color w:val="002060"/>
          </w:rPr>
          <w:t>http://www.ilo.org/wcmsp5/groups/public/---</w:t>
        </w:r>
        <w:proofErr w:type="spellStart"/>
        <w:r w:rsidRPr="000E0C38">
          <w:rPr>
            <w:rStyle w:val="Hyperlink"/>
            <w:rFonts w:ascii="Arial" w:hAnsi="Arial" w:cs="Arial"/>
            <w:color w:val="002060"/>
          </w:rPr>
          <w:t>ed_mas</w:t>
        </w:r>
        <w:proofErr w:type="spellEnd"/>
        <w:r w:rsidRPr="000E0C38">
          <w:rPr>
            <w:rStyle w:val="Hyperlink"/>
            <w:rFonts w:ascii="Arial" w:hAnsi="Arial" w:cs="Arial"/>
            <w:color w:val="002060"/>
          </w:rPr>
          <w:t>/---</w:t>
        </w:r>
        <w:proofErr w:type="spellStart"/>
        <w:r w:rsidRPr="000E0C38">
          <w:rPr>
            <w:rStyle w:val="Hyperlink"/>
            <w:rFonts w:ascii="Arial" w:hAnsi="Arial" w:cs="Arial"/>
            <w:color w:val="002060"/>
          </w:rPr>
          <w:t>eval</w:t>
        </w:r>
        <w:proofErr w:type="spellEnd"/>
        <w:r w:rsidRPr="000E0C38">
          <w:rPr>
            <w:rStyle w:val="Hyperlink"/>
            <w:rFonts w:ascii="Arial" w:hAnsi="Arial" w:cs="Arial"/>
            <w:color w:val="002060"/>
          </w:rPr>
          <w:t>/documents/publication/wcms_556633.pdf</w:t>
        </w:r>
      </w:hyperlink>
    </w:p>
    <w:p w14:paraId="702C246F" w14:textId="77777777" w:rsidR="002E11F6" w:rsidRPr="000E0C38" w:rsidRDefault="002E11F6" w:rsidP="0071379F">
      <w:pPr>
        <w:pStyle w:val="BodyText"/>
      </w:pPr>
      <w:r w:rsidRPr="000E0C38">
        <w:t xml:space="preserve">ILO Green Jobs Programme (2014) </w:t>
      </w:r>
      <w:proofErr w:type="gramStart"/>
      <w:r w:rsidRPr="000E0C38">
        <w:t>More</w:t>
      </w:r>
      <w:proofErr w:type="gramEnd"/>
      <w:r w:rsidRPr="000E0C38">
        <w:t xml:space="preserve"> than business alone: Extending and promoting social protection amongst MSMEs and informal workers in Zambia’s building construction industry. </w:t>
      </w:r>
      <w:hyperlink r:id="rId55" w:history="1">
        <w:r w:rsidRPr="000E0C38">
          <w:rPr>
            <w:rStyle w:val="Hyperlink"/>
            <w:color w:val="002060"/>
          </w:rPr>
          <w:t>http://www.ilo.org/addisababa/information-resources/publications/WCMS_485359/lang--en/index.htm</w:t>
        </w:r>
      </w:hyperlink>
    </w:p>
    <w:p w14:paraId="687E99D4" w14:textId="77777777" w:rsidR="002E11F6" w:rsidRPr="000E0C38" w:rsidRDefault="002E11F6" w:rsidP="0071379F">
      <w:pPr>
        <w:pStyle w:val="BodyText"/>
      </w:pPr>
      <w:r w:rsidRPr="000E0C38">
        <w:t xml:space="preserve">ILO Green Jobs Programme (2015) Zambia Annual Impact Report </w:t>
      </w:r>
      <w:hyperlink r:id="rId56" w:history="1">
        <w:r w:rsidRPr="000E0C38">
          <w:rPr>
            <w:rStyle w:val="Hyperlink"/>
            <w:color w:val="002060"/>
          </w:rPr>
          <w:t>http://www.ilo.org/wcmsp5/groups/public/---</w:t>
        </w:r>
        <w:proofErr w:type="spellStart"/>
        <w:r w:rsidRPr="000E0C38">
          <w:rPr>
            <w:rStyle w:val="Hyperlink"/>
            <w:color w:val="002060"/>
          </w:rPr>
          <w:t>ed_emp</w:t>
        </w:r>
        <w:proofErr w:type="spellEnd"/>
        <w:r w:rsidRPr="000E0C38">
          <w:rPr>
            <w:rStyle w:val="Hyperlink"/>
            <w:color w:val="002060"/>
          </w:rPr>
          <w:t>/---</w:t>
        </w:r>
        <w:proofErr w:type="spellStart"/>
        <w:r w:rsidRPr="000E0C38">
          <w:rPr>
            <w:rStyle w:val="Hyperlink"/>
            <w:color w:val="002060"/>
          </w:rPr>
          <w:t>gjp</w:t>
        </w:r>
        <w:proofErr w:type="spellEnd"/>
        <w:r w:rsidRPr="000E0C38">
          <w:rPr>
            <w:rStyle w:val="Hyperlink"/>
            <w:color w:val="002060"/>
          </w:rPr>
          <w:t>/documents/publication/wcms_476085.pdf</w:t>
        </w:r>
      </w:hyperlink>
    </w:p>
    <w:p w14:paraId="5BE05353" w14:textId="77777777" w:rsidR="002E11F6" w:rsidRPr="000E0C38" w:rsidRDefault="002E11F6" w:rsidP="0071379F">
      <w:pPr>
        <w:pStyle w:val="BodyText"/>
      </w:pPr>
      <w:r w:rsidRPr="000E0C38">
        <w:t xml:space="preserve">Infrastructure IC (2017) </w:t>
      </w:r>
      <w:r w:rsidR="009A3B77" w:rsidRPr="000E0C38">
        <w:t>Global Infrastructure Outlook</w:t>
      </w:r>
      <w:r w:rsidRPr="000E0C38">
        <w:t xml:space="preserve">. </w:t>
      </w:r>
      <w:r w:rsidR="00745669" w:rsidRPr="000E0C38">
        <w:t>https://www.timetricreports.com/report/if0001ig--global-infrastructure-outlook/</w:t>
      </w:r>
    </w:p>
    <w:p w14:paraId="47E973EA"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 xml:space="preserve">Jason, A. (2005) Informal construction workers in Dar </w:t>
      </w:r>
      <w:proofErr w:type="spellStart"/>
      <w:r w:rsidRPr="000E0C38">
        <w:rPr>
          <w:rFonts w:ascii="Arial" w:hAnsi="Arial" w:cs="Arial"/>
        </w:rPr>
        <w:t>es</w:t>
      </w:r>
      <w:proofErr w:type="spellEnd"/>
      <w:r w:rsidRPr="000E0C38">
        <w:rPr>
          <w:rFonts w:ascii="Arial" w:hAnsi="Arial" w:cs="Arial"/>
        </w:rPr>
        <w:t xml:space="preserve"> Salaam, Tanzania, Sectoral Activities</w:t>
      </w:r>
      <w:r w:rsidR="0071379F" w:rsidRPr="000E0C38">
        <w:rPr>
          <w:rFonts w:ascii="Arial" w:hAnsi="Arial" w:cs="Arial"/>
        </w:rPr>
        <w:t xml:space="preserve"> </w:t>
      </w:r>
      <w:r w:rsidRPr="000E0C38">
        <w:rPr>
          <w:rFonts w:ascii="Arial" w:hAnsi="Arial" w:cs="Arial"/>
        </w:rPr>
        <w:t xml:space="preserve">Department, Working Paper No. 226, ILO, Geneva. </w:t>
      </w:r>
      <w:hyperlink r:id="rId57" w:history="1">
        <w:r w:rsidRPr="000E0C38">
          <w:rPr>
            <w:rStyle w:val="Hyperlink"/>
            <w:rFonts w:ascii="Arial" w:hAnsi="Arial" w:cs="Arial"/>
            <w:color w:val="002060"/>
          </w:rPr>
          <w:t>http://www.ilo.org/sector/Resources/publications/WCMS_160790/lang--en/index.htm</w:t>
        </w:r>
      </w:hyperlink>
    </w:p>
    <w:p w14:paraId="6210ACE6" w14:textId="77777777" w:rsidR="002E11F6" w:rsidRPr="000E0C38" w:rsidRDefault="002E11F6" w:rsidP="0071379F">
      <w:pPr>
        <w:spacing w:after="240" w:line="260" w:lineRule="atLeast"/>
        <w:rPr>
          <w:rFonts w:ascii="Arial" w:hAnsi="Arial" w:cs="Arial"/>
          <w:sz w:val="20"/>
          <w:szCs w:val="20"/>
        </w:rPr>
      </w:pPr>
      <w:proofErr w:type="spellStart"/>
      <w:r w:rsidRPr="000E0C38">
        <w:rPr>
          <w:rFonts w:ascii="Arial" w:hAnsi="Arial" w:cs="Arial"/>
          <w:sz w:val="20"/>
          <w:szCs w:val="20"/>
        </w:rPr>
        <w:t>Kalpana</w:t>
      </w:r>
      <w:proofErr w:type="spellEnd"/>
      <w:r w:rsidRPr="000E0C38">
        <w:rPr>
          <w:rFonts w:ascii="Arial" w:hAnsi="Arial" w:cs="Arial"/>
          <w:sz w:val="20"/>
          <w:szCs w:val="20"/>
        </w:rPr>
        <w:t xml:space="preserve"> and Kiran (2013) Status of Female Workers in Construction Industry in India: A Review. IOSR Journal </w:t>
      </w:r>
      <w:proofErr w:type="gramStart"/>
      <w:r w:rsidRPr="000E0C38">
        <w:rPr>
          <w:rFonts w:ascii="Arial" w:hAnsi="Arial" w:cs="Arial"/>
          <w:sz w:val="20"/>
          <w:szCs w:val="20"/>
        </w:rPr>
        <w:t>Of</w:t>
      </w:r>
      <w:proofErr w:type="gramEnd"/>
      <w:r w:rsidRPr="000E0C38">
        <w:rPr>
          <w:rFonts w:ascii="Arial" w:hAnsi="Arial" w:cs="Arial"/>
          <w:sz w:val="20"/>
          <w:szCs w:val="20"/>
        </w:rPr>
        <w:t xml:space="preserve"> Humanities And Social Science (IOSR-JHSS).</w:t>
      </w:r>
      <w:r w:rsidRPr="000E0C38">
        <w:rPr>
          <w:rFonts w:ascii="Arial" w:hAnsi="Arial" w:cs="Arial"/>
          <w:color w:val="002060"/>
          <w:sz w:val="20"/>
          <w:szCs w:val="20"/>
        </w:rPr>
        <w:t xml:space="preserve"> </w:t>
      </w:r>
      <w:hyperlink r:id="rId58" w:history="1">
        <w:r w:rsidRPr="000E0C38">
          <w:rPr>
            <w:rStyle w:val="Hyperlink"/>
            <w:rFonts w:ascii="Arial" w:hAnsi="Arial" w:cs="Arial"/>
            <w:color w:val="002060"/>
            <w:sz w:val="20"/>
            <w:szCs w:val="20"/>
          </w:rPr>
          <w:t>http://www.iosrjournals.org/iosr-jhss/papers/Vol14-issue4/D01442730.pdf?id=6702</w:t>
        </w:r>
      </w:hyperlink>
    </w:p>
    <w:p w14:paraId="34C5EC0A" w14:textId="77777777" w:rsidR="002E11F6" w:rsidRPr="000E0C38" w:rsidRDefault="002E11F6" w:rsidP="0071379F">
      <w:pPr>
        <w:spacing w:after="240" w:line="260" w:lineRule="atLeast"/>
        <w:rPr>
          <w:rFonts w:ascii="Arial" w:hAnsi="Arial" w:cs="Arial"/>
          <w:sz w:val="20"/>
          <w:szCs w:val="20"/>
        </w:rPr>
      </w:pPr>
      <w:r w:rsidRPr="000E0C38">
        <w:rPr>
          <w:rFonts w:ascii="Arial" w:hAnsi="Arial" w:cs="Arial"/>
          <w:sz w:val="20"/>
          <w:szCs w:val="20"/>
        </w:rPr>
        <w:t>KPMG, &amp; Armstrong, G. (2015) Climbing the Curve: 2015 Global Construction Project Owner’s Survey. KPMG International.</w:t>
      </w:r>
      <w:r w:rsidRPr="000E0C38">
        <w:rPr>
          <w:rFonts w:ascii="Arial" w:hAnsi="Arial" w:cs="Arial"/>
          <w:color w:val="002060"/>
          <w:sz w:val="20"/>
          <w:szCs w:val="20"/>
        </w:rPr>
        <w:t xml:space="preserve"> </w:t>
      </w:r>
      <w:hyperlink r:id="rId59" w:history="1">
        <w:r w:rsidRPr="000E0C38">
          <w:rPr>
            <w:rStyle w:val="Hyperlink"/>
            <w:rFonts w:ascii="Arial" w:hAnsi="Arial" w:cs="Arial"/>
            <w:color w:val="002060"/>
            <w:sz w:val="20"/>
            <w:szCs w:val="20"/>
          </w:rPr>
          <w:t>https://assets.kpmg.com/content/dam/kpmg/pdf/2015/04/global-construction-survey-2015.pdf</w:t>
        </w:r>
      </w:hyperlink>
    </w:p>
    <w:p w14:paraId="27FD1879" w14:textId="5C70313A" w:rsidR="002E11F6" w:rsidRPr="000E0C38" w:rsidRDefault="002E11F6" w:rsidP="0071379F">
      <w:pPr>
        <w:spacing w:after="240" w:line="260" w:lineRule="atLeast"/>
        <w:rPr>
          <w:rStyle w:val="Hyperlink"/>
          <w:rFonts w:ascii="Arial" w:hAnsi="Arial" w:cs="Arial"/>
          <w:color w:val="002060"/>
          <w:sz w:val="20"/>
          <w:szCs w:val="20"/>
        </w:rPr>
      </w:pPr>
      <w:r w:rsidRPr="000E0C38">
        <w:rPr>
          <w:rFonts w:ascii="Arial" w:hAnsi="Arial" w:cs="Arial"/>
          <w:sz w:val="20"/>
          <w:szCs w:val="20"/>
        </w:rPr>
        <w:t xml:space="preserve">Lopes, J.P. Oliveira R.A. and Abreu M.I. (2011) </w:t>
      </w:r>
      <w:proofErr w:type="gramStart"/>
      <w:r w:rsidRPr="000E0C38">
        <w:rPr>
          <w:rFonts w:ascii="Arial" w:hAnsi="Arial" w:cs="Arial"/>
          <w:sz w:val="20"/>
          <w:szCs w:val="20"/>
        </w:rPr>
        <w:t>The</w:t>
      </w:r>
      <w:proofErr w:type="gramEnd"/>
      <w:r w:rsidRPr="000E0C38">
        <w:rPr>
          <w:rFonts w:ascii="Arial" w:hAnsi="Arial" w:cs="Arial"/>
          <w:sz w:val="20"/>
          <w:szCs w:val="20"/>
        </w:rPr>
        <w:t xml:space="preserve"> construction industry and the challenges of the </w:t>
      </w:r>
      <w:r w:rsidR="00BD0976" w:rsidRPr="000E0C38">
        <w:rPr>
          <w:rFonts w:ascii="Arial" w:hAnsi="Arial" w:cs="Arial"/>
          <w:sz w:val="20"/>
          <w:szCs w:val="20"/>
        </w:rPr>
        <w:t>millennium</w:t>
      </w:r>
      <w:r w:rsidRPr="000E0C38">
        <w:rPr>
          <w:rFonts w:ascii="Arial" w:hAnsi="Arial" w:cs="Arial"/>
          <w:sz w:val="20"/>
          <w:szCs w:val="20"/>
        </w:rPr>
        <w:t xml:space="preserve"> development goals. </w:t>
      </w:r>
      <w:hyperlink r:id="rId60" w:history="1">
        <w:r w:rsidRPr="000E0C38">
          <w:rPr>
            <w:rStyle w:val="Hyperlink"/>
            <w:rFonts w:ascii="Arial" w:hAnsi="Arial" w:cs="Arial"/>
            <w:color w:val="002060"/>
            <w:sz w:val="20"/>
            <w:szCs w:val="20"/>
          </w:rPr>
          <w:t>http://misbe2011.fyper.com/proceedings/documents/183.pdf</w:t>
        </w:r>
      </w:hyperlink>
    </w:p>
    <w:p w14:paraId="33A08F75" w14:textId="77777777" w:rsidR="0089618C" w:rsidRPr="000E0C38" w:rsidRDefault="0089618C" w:rsidP="0089618C">
      <w:pPr>
        <w:spacing w:after="240" w:line="260" w:lineRule="atLeast"/>
        <w:rPr>
          <w:rFonts w:ascii="Arial" w:hAnsi="Arial" w:cs="Arial"/>
          <w:sz w:val="20"/>
          <w:szCs w:val="20"/>
        </w:rPr>
      </w:pPr>
      <w:proofErr w:type="spellStart"/>
      <w:r w:rsidRPr="000E0C38">
        <w:rPr>
          <w:rFonts w:ascii="Arial" w:hAnsi="Arial" w:cs="Arial"/>
          <w:sz w:val="20"/>
          <w:szCs w:val="20"/>
        </w:rPr>
        <w:t>Madhok</w:t>
      </w:r>
      <w:proofErr w:type="spellEnd"/>
      <w:r w:rsidRPr="000E0C38">
        <w:rPr>
          <w:rFonts w:ascii="Arial" w:hAnsi="Arial" w:cs="Arial"/>
          <w:sz w:val="20"/>
          <w:szCs w:val="20"/>
        </w:rPr>
        <w:t>, S. (2005) Report on the status of women workers in the construction industry. National commission for women. New Delhi.</w:t>
      </w:r>
    </w:p>
    <w:p w14:paraId="31AC4981" w14:textId="77777777" w:rsidR="002E11F6" w:rsidRPr="000E0C38" w:rsidRDefault="002E11F6" w:rsidP="0071379F">
      <w:pPr>
        <w:spacing w:after="240" w:line="260" w:lineRule="atLeast"/>
        <w:rPr>
          <w:rFonts w:ascii="Arial" w:hAnsi="Arial" w:cs="Arial"/>
          <w:sz w:val="20"/>
          <w:szCs w:val="20"/>
        </w:rPr>
      </w:pPr>
      <w:r w:rsidRPr="000E0C38">
        <w:rPr>
          <w:rFonts w:ascii="Arial" w:hAnsi="Arial" w:cs="Arial"/>
          <w:sz w:val="20"/>
          <w:szCs w:val="20"/>
        </w:rPr>
        <w:t xml:space="preserve">McKinsey and Company (2017) Dance of the Lions and Dragons: How are Africa and China engaging, and how will the partnership evolve? </w:t>
      </w:r>
      <w:hyperlink r:id="rId61" w:history="1">
        <w:r w:rsidRPr="000E0C38">
          <w:rPr>
            <w:rStyle w:val="Hyperlink"/>
            <w:rFonts w:ascii="Arial" w:hAnsi="Arial" w:cs="Arial"/>
            <w:color w:val="002060"/>
            <w:sz w:val="20"/>
            <w:szCs w:val="20"/>
          </w:rPr>
          <w:t>https://www.africa-newsroom.com/files/download/aa9f2979a3dc18e</w:t>
        </w:r>
      </w:hyperlink>
    </w:p>
    <w:p w14:paraId="398CB713" w14:textId="77777777" w:rsidR="002901D4" w:rsidRPr="000E0C38" w:rsidRDefault="001C2853" w:rsidP="0071379F">
      <w:pPr>
        <w:pStyle w:val="FootnoteText"/>
        <w:spacing w:after="240" w:line="260" w:lineRule="atLeast"/>
        <w:rPr>
          <w:rFonts w:ascii="Arial" w:hAnsi="Arial" w:cs="Arial"/>
        </w:rPr>
      </w:pPr>
      <w:proofErr w:type="spellStart"/>
      <w:r w:rsidRPr="000E0C38">
        <w:rPr>
          <w:rFonts w:ascii="Arial" w:hAnsi="Arial" w:cs="Arial"/>
        </w:rPr>
        <w:lastRenderedPageBreak/>
        <w:t>Murie</w:t>
      </w:r>
      <w:proofErr w:type="spellEnd"/>
      <w:r w:rsidRPr="000E0C38">
        <w:rPr>
          <w:rFonts w:ascii="Arial" w:hAnsi="Arial" w:cs="Arial"/>
        </w:rPr>
        <w:t>, F. (2009)</w:t>
      </w:r>
      <w:r w:rsidR="002901D4" w:rsidRPr="000E0C38">
        <w:rPr>
          <w:rFonts w:ascii="Arial" w:hAnsi="Arial" w:cs="Arial"/>
        </w:rPr>
        <w:t xml:space="preserve"> BWI strategies to promote decent work through procurement: The example of the</w:t>
      </w:r>
      <w:r w:rsidR="0071379F" w:rsidRPr="000E0C38">
        <w:rPr>
          <w:rFonts w:ascii="Arial" w:hAnsi="Arial" w:cs="Arial"/>
        </w:rPr>
        <w:t xml:space="preserve"> </w:t>
      </w:r>
      <w:proofErr w:type="spellStart"/>
      <w:r w:rsidR="002901D4" w:rsidRPr="000E0C38">
        <w:rPr>
          <w:rFonts w:ascii="Arial" w:hAnsi="Arial" w:cs="Arial"/>
        </w:rPr>
        <w:t>Bujagali</w:t>
      </w:r>
      <w:proofErr w:type="spellEnd"/>
      <w:r w:rsidR="002901D4" w:rsidRPr="000E0C38">
        <w:rPr>
          <w:rFonts w:ascii="Arial" w:hAnsi="Arial" w:cs="Arial"/>
        </w:rPr>
        <w:t xml:space="preserve"> Dam project in Uganda, Global Union Research Network (GURN) Discussion Paper, No. 9</w:t>
      </w:r>
      <w:r w:rsidR="0071379F" w:rsidRPr="000E0C38">
        <w:rPr>
          <w:rFonts w:ascii="Arial" w:hAnsi="Arial" w:cs="Arial"/>
        </w:rPr>
        <w:t xml:space="preserve"> </w:t>
      </w:r>
      <w:r w:rsidR="002901D4" w:rsidRPr="000E0C38">
        <w:rPr>
          <w:rFonts w:ascii="Arial" w:hAnsi="Arial" w:cs="Arial"/>
        </w:rPr>
        <w:t xml:space="preserve">(Geneva, ILO). </w:t>
      </w:r>
      <w:hyperlink r:id="rId62" w:history="1">
        <w:r w:rsidR="002901D4" w:rsidRPr="000E0C38">
          <w:rPr>
            <w:rStyle w:val="Hyperlink"/>
            <w:rFonts w:ascii="Arial" w:hAnsi="Arial" w:cs="Arial"/>
            <w:color w:val="002060"/>
          </w:rPr>
          <w:t>http://staging.ilo.org/public/libdoc/ilo/2009/109B09_160_engl.pdf</w:t>
        </w:r>
      </w:hyperlink>
    </w:p>
    <w:p w14:paraId="66582C3E"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National Skill Development Corporation: Human Resource and Skill Requirements in the</w:t>
      </w:r>
      <w:r w:rsidR="0071379F" w:rsidRPr="000E0C38">
        <w:rPr>
          <w:rFonts w:ascii="Arial" w:hAnsi="Arial" w:cs="Arial"/>
        </w:rPr>
        <w:t xml:space="preserve"> </w:t>
      </w:r>
      <w:r w:rsidRPr="000E0C38">
        <w:rPr>
          <w:rFonts w:ascii="Arial" w:hAnsi="Arial" w:cs="Arial"/>
        </w:rPr>
        <w:t>Building, Construction and Real Estate Services Sector</w:t>
      </w:r>
      <w:r w:rsidRPr="000E0C38">
        <w:rPr>
          <w:rFonts w:ascii="Arial" w:hAnsi="Arial" w:cs="Arial"/>
          <w:color w:val="002060"/>
        </w:rPr>
        <w:t xml:space="preserve">. </w:t>
      </w:r>
      <w:hyperlink r:id="rId63" w:history="1">
        <w:r w:rsidRPr="000E0C38">
          <w:rPr>
            <w:rStyle w:val="Hyperlink"/>
            <w:rFonts w:ascii="Arial" w:hAnsi="Arial" w:cs="Arial"/>
            <w:color w:val="002060"/>
          </w:rPr>
          <w:t>http://www.nsdcindia.org/sites/default/files/files/Bldg-Const-Real-Estate-2009.pdf</w:t>
        </w:r>
      </w:hyperlink>
    </w:p>
    <w:p w14:paraId="5FA62648" w14:textId="77777777" w:rsidR="00A829C7" w:rsidRPr="000E0C38" w:rsidRDefault="00A829C7" w:rsidP="0071379F">
      <w:pPr>
        <w:pStyle w:val="FootnoteText"/>
        <w:spacing w:after="240" w:line="260" w:lineRule="atLeast"/>
        <w:rPr>
          <w:rFonts w:ascii="Arial" w:hAnsi="Arial" w:cs="Arial"/>
          <w:color w:val="002060"/>
        </w:rPr>
      </w:pPr>
      <w:r w:rsidRPr="000E0C38">
        <w:rPr>
          <w:rFonts w:ascii="Arial" w:hAnsi="Arial" w:cs="Arial"/>
        </w:rPr>
        <w:t xml:space="preserve">NPR (2013) "For Ethiopian Women, Construction Jobs Offer </w:t>
      </w:r>
      <w:proofErr w:type="gramStart"/>
      <w:r w:rsidRPr="000E0C38">
        <w:rPr>
          <w:rFonts w:ascii="Arial" w:hAnsi="Arial" w:cs="Arial"/>
        </w:rPr>
        <w:t>A</w:t>
      </w:r>
      <w:proofErr w:type="gramEnd"/>
      <w:r w:rsidRPr="000E0C38">
        <w:rPr>
          <w:rFonts w:ascii="Arial" w:hAnsi="Arial" w:cs="Arial"/>
        </w:rPr>
        <w:t xml:space="preserve"> Better Life". </w:t>
      </w:r>
      <w:hyperlink r:id="rId64" w:history="1">
        <w:r w:rsidRPr="000E0C38">
          <w:rPr>
            <w:rStyle w:val="Hyperlink"/>
            <w:rFonts w:ascii="Arial" w:hAnsi="Arial" w:cs="Arial"/>
            <w:color w:val="002060"/>
          </w:rPr>
          <w:t>http://www.npr.org/2013/08/07/207858449/for-ethiopian-women-construction-jobs-offer-a-better-life</w:t>
        </w:r>
      </w:hyperlink>
    </w:p>
    <w:p w14:paraId="071F1D7F" w14:textId="571D7162" w:rsidR="002B11ED" w:rsidRPr="000E0C38" w:rsidRDefault="002B11ED" w:rsidP="002B11ED">
      <w:pPr>
        <w:pStyle w:val="FootnoteText"/>
        <w:spacing w:after="240" w:line="260" w:lineRule="atLeast"/>
        <w:rPr>
          <w:rFonts w:ascii="Arial" w:hAnsi="Arial" w:cs="Arial"/>
        </w:rPr>
      </w:pPr>
      <w:proofErr w:type="spellStart"/>
      <w:r w:rsidRPr="000E0C38">
        <w:rPr>
          <w:rFonts w:ascii="Arial" w:hAnsi="Arial" w:cs="Arial"/>
        </w:rPr>
        <w:t>Osei</w:t>
      </w:r>
      <w:proofErr w:type="spellEnd"/>
      <w:r w:rsidRPr="000E0C38">
        <w:rPr>
          <w:rFonts w:ascii="Arial" w:hAnsi="Arial" w:cs="Arial"/>
        </w:rPr>
        <w:t xml:space="preserve"> V. (2013). The construction industry and its linkages to the Ghanaian economy-polices to</w:t>
      </w:r>
      <w:r w:rsidR="00BD0976" w:rsidRPr="000E0C38">
        <w:rPr>
          <w:rFonts w:ascii="Arial" w:hAnsi="Arial" w:cs="Arial"/>
        </w:rPr>
        <w:t xml:space="preserve"> </w:t>
      </w:r>
      <w:r w:rsidRPr="000E0C38">
        <w:rPr>
          <w:rFonts w:ascii="Arial" w:hAnsi="Arial" w:cs="Arial"/>
        </w:rPr>
        <w:t xml:space="preserve">improve the sector’s performance. International Journal of Development and Economic Sustainability, 1(1), 56–72. </w:t>
      </w:r>
    </w:p>
    <w:p w14:paraId="0417773F" w14:textId="52AC30BA" w:rsidR="002E11F6" w:rsidRPr="000E0C38" w:rsidRDefault="002E11F6" w:rsidP="0071379F">
      <w:pPr>
        <w:pStyle w:val="FootnoteText"/>
        <w:spacing w:after="240" w:line="260" w:lineRule="atLeast"/>
        <w:rPr>
          <w:rFonts w:ascii="Arial" w:hAnsi="Arial" w:cs="Arial"/>
        </w:rPr>
      </w:pPr>
      <w:proofErr w:type="spellStart"/>
      <w:r w:rsidRPr="000E0C38">
        <w:rPr>
          <w:rFonts w:ascii="Arial" w:hAnsi="Arial" w:cs="Arial"/>
        </w:rPr>
        <w:t>Pais</w:t>
      </w:r>
      <w:proofErr w:type="spellEnd"/>
      <w:r w:rsidRPr="000E0C38">
        <w:rPr>
          <w:rFonts w:ascii="Arial" w:hAnsi="Arial" w:cs="Arial"/>
        </w:rPr>
        <w:t xml:space="preserve">, J. (2002) </w:t>
      </w:r>
      <w:proofErr w:type="spellStart"/>
      <w:r w:rsidRPr="000E0C38">
        <w:rPr>
          <w:rFonts w:ascii="Arial" w:hAnsi="Arial" w:cs="Arial"/>
        </w:rPr>
        <w:t>Casualisation</w:t>
      </w:r>
      <w:proofErr w:type="spellEnd"/>
      <w:r w:rsidRPr="000E0C38">
        <w:rPr>
          <w:rFonts w:ascii="Arial" w:hAnsi="Arial" w:cs="Arial"/>
        </w:rPr>
        <w:t xml:space="preserve"> of urban labour force: analysis of recent trends in manufacturing. Economic and Political Weekly, 16 February, India.</w:t>
      </w:r>
      <w:r w:rsidRPr="000E0C38">
        <w:rPr>
          <w:rFonts w:ascii="Arial" w:hAnsi="Arial" w:cs="Arial"/>
          <w:color w:val="002060"/>
        </w:rPr>
        <w:t xml:space="preserve"> </w:t>
      </w:r>
      <w:hyperlink r:id="rId65" w:history="1">
        <w:r w:rsidRPr="000E0C38">
          <w:rPr>
            <w:rStyle w:val="Hyperlink"/>
            <w:rFonts w:ascii="Arial" w:hAnsi="Arial" w:cs="Arial"/>
            <w:color w:val="002060"/>
          </w:rPr>
          <w:t>http://www.epw.in/journal/2002/07/special-articles/casualisation-urban-labour-force.html</w:t>
        </w:r>
      </w:hyperlink>
    </w:p>
    <w:p w14:paraId="13464C42"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 xml:space="preserve">Patel, D A and </w:t>
      </w:r>
      <w:proofErr w:type="spellStart"/>
      <w:r w:rsidRPr="000E0C38">
        <w:rPr>
          <w:rFonts w:ascii="Arial" w:hAnsi="Arial" w:cs="Arial"/>
        </w:rPr>
        <w:t>Jha</w:t>
      </w:r>
      <w:proofErr w:type="spellEnd"/>
      <w:r w:rsidRPr="000E0C38">
        <w:rPr>
          <w:rFonts w:ascii="Arial" w:hAnsi="Arial" w:cs="Arial"/>
        </w:rPr>
        <w:t xml:space="preserve">, K N (2016) </w:t>
      </w:r>
      <w:proofErr w:type="gramStart"/>
      <w:r w:rsidRPr="000E0C38">
        <w:rPr>
          <w:rFonts w:ascii="Arial" w:hAnsi="Arial" w:cs="Arial"/>
        </w:rPr>
        <w:t>An</w:t>
      </w:r>
      <w:proofErr w:type="gramEnd"/>
      <w:r w:rsidRPr="000E0C38">
        <w:rPr>
          <w:rFonts w:ascii="Arial" w:hAnsi="Arial" w:cs="Arial"/>
        </w:rPr>
        <w:t xml:space="preserve"> Estimate of Fatal Accidents in Indian Construction. In: P W Chan and C J Neilson (Eds.) Proceedings of the 32nd Annual ARCOM Conference, 5-7 September 2016, Manchester, UK, Association of Researchers in Construction Management, Vol 1, 539-548.</w:t>
      </w:r>
    </w:p>
    <w:p w14:paraId="0AE84570" w14:textId="77777777" w:rsidR="002E11F6" w:rsidRPr="000E0C38" w:rsidRDefault="002E11F6" w:rsidP="0071379F">
      <w:pPr>
        <w:spacing w:after="240" w:line="260" w:lineRule="atLeast"/>
        <w:rPr>
          <w:rFonts w:ascii="Arial" w:hAnsi="Arial" w:cs="Arial"/>
          <w:sz w:val="20"/>
          <w:szCs w:val="20"/>
        </w:rPr>
      </w:pPr>
      <w:r w:rsidRPr="000E0C38">
        <w:rPr>
          <w:rFonts w:ascii="Arial" w:hAnsi="Arial" w:cs="Arial"/>
          <w:sz w:val="20"/>
          <w:szCs w:val="20"/>
        </w:rPr>
        <w:t xml:space="preserve">Patel and </w:t>
      </w:r>
      <w:proofErr w:type="spellStart"/>
      <w:r w:rsidRPr="000E0C38">
        <w:rPr>
          <w:rFonts w:ascii="Arial" w:hAnsi="Arial" w:cs="Arial"/>
          <w:sz w:val="20"/>
          <w:szCs w:val="20"/>
        </w:rPr>
        <w:t>Pitroda</w:t>
      </w:r>
      <w:proofErr w:type="spellEnd"/>
      <w:r w:rsidRPr="000E0C38">
        <w:rPr>
          <w:rFonts w:ascii="Arial" w:hAnsi="Arial" w:cs="Arial"/>
          <w:sz w:val="20"/>
          <w:szCs w:val="20"/>
        </w:rPr>
        <w:t xml:space="preserve"> (2016) </w:t>
      </w:r>
      <w:proofErr w:type="gramStart"/>
      <w:r w:rsidRPr="000E0C38">
        <w:rPr>
          <w:rFonts w:ascii="Arial" w:hAnsi="Arial" w:cs="Arial"/>
          <w:sz w:val="20"/>
          <w:szCs w:val="20"/>
        </w:rPr>
        <w:t>The</w:t>
      </w:r>
      <w:proofErr w:type="gramEnd"/>
      <w:r w:rsidRPr="000E0C38">
        <w:rPr>
          <w:rFonts w:ascii="Arial" w:hAnsi="Arial" w:cs="Arial"/>
          <w:sz w:val="20"/>
          <w:szCs w:val="20"/>
        </w:rPr>
        <w:t xml:space="preserve"> role of women in construction industry: an Indian perspective. Indian Journal of Technical Education (IJTE). </w:t>
      </w:r>
      <w:hyperlink r:id="rId66" w:history="1">
        <w:r w:rsidRPr="000E0C38">
          <w:rPr>
            <w:rStyle w:val="Hyperlink"/>
            <w:rFonts w:ascii="Arial" w:hAnsi="Arial" w:cs="Arial"/>
            <w:color w:val="002060"/>
            <w:sz w:val="20"/>
            <w:szCs w:val="20"/>
          </w:rPr>
          <w:t>https://www.researchgate.net/publication/294355586_THE_ROLE_OF_WOMEN_IN_CONSTRUCTION_INDUSTRY_AN_INDIAN_PERSPECTIVE</w:t>
        </w:r>
      </w:hyperlink>
    </w:p>
    <w:p w14:paraId="6507FDCB" w14:textId="1F93AB59" w:rsidR="003E10CB" w:rsidRPr="000E0C38" w:rsidRDefault="003E10CB" w:rsidP="003E10CB">
      <w:pPr>
        <w:spacing w:after="240" w:line="260" w:lineRule="atLeast"/>
        <w:rPr>
          <w:rFonts w:ascii="Arial" w:hAnsi="Arial" w:cs="Arial"/>
          <w:sz w:val="20"/>
          <w:szCs w:val="20"/>
        </w:rPr>
      </w:pPr>
      <w:r w:rsidRPr="000E0C38">
        <w:rPr>
          <w:rFonts w:ascii="Arial" w:hAnsi="Arial" w:cs="Arial"/>
          <w:sz w:val="20"/>
          <w:szCs w:val="20"/>
        </w:rPr>
        <w:t xml:space="preserve">Ramachandra T. &amp; </w:t>
      </w:r>
      <w:proofErr w:type="spellStart"/>
      <w:r w:rsidRPr="000E0C38">
        <w:rPr>
          <w:rFonts w:ascii="Arial" w:hAnsi="Arial" w:cs="Arial"/>
          <w:sz w:val="20"/>
          <w:szCs w:val="20"/>
        </w:rPr>
        <w:t>Rameezdeen</w:t>
      </w:r>
      <w:proofErr w:type="spellEnd"/>
      <w:r w:rsidRPr="000E0C38">
        <w:rPr>
          <w:rFonts w:ascii="Arial" w:hAnsi="Arial" w:cs="Arial"/>
          <w:sz w:val="20"/>
          <w:szCs w:val="20"/>
        </w:rPr>
        <w:t xml:space="preserve"> R. (2006). Study of the relationship between construction sector and the Sri Lankan economy. Built-Environment-Sri Lanka, 6(2), 50–56.</w:t>
      </w:r>
    </w:p>
    <w:p w14:paraId="0BBC9BC7" w14:textId="4AC790BA" w:rsidR="002E11F6" w:rsidRPr="000E0C38" w:rsidRDefault="002E11F6" w:rsidP="0071379F">
      <w:pPr>
        <w:spacing w:after="240" w:line="260" w:lineRule="atLeast"/>
        <w:rPr>
          <w:rFonts w:ascii="Arial" w:hAnsi="Arial" w:cs="Arial"/>
          <w:sz w:val="20"/>
          <w:szCs w:val="20"/>
        </w:rPr>
      </w:pPr>
      <w:r w:rsidRPr="000E0C38">
        <w:rPr>
          <w:rFonts w:ascii="Arial" w:hAnsi="Arial" w:cs="Arial"/>
          <w:sz w:val="20"/>
          <w:szCs w:val="20"/>
        </w:rPr>
        <w:t xml:space="preserve">Schilling, D.R. (2015) </w:t>
      </w:r>
      <w:r w:rsidRPr="000E0C38">
        <w:rPr>
          <w:rFonts w:ascii="Arial" w:hAnsi="Arial" w:cs="Arial"/>
          <w:i/>
          <w:sz w:val="20"/>
          <w:szCs w:val="20"/>
        </w:rPr>
        <w:t>Global Construction Expected to Increase by $4.8 Trillion by 2020</w:t>
      </w:r>
      <w:r w:rsidRPr="000E0C38">
        <w:rPr>
          <w:rFonts w:ascii="Arial" w:hAnsi="Arial" w:cs="Arial"/>
          <w:sz w:val="20"/>
          <w:szCs w:val="20"/>
        </w:rPr>
        <w:t xml:space="preserve"> Industry Tap </w:t>
      </w:r>
      <w:hyperlink r:id="rId67" w:history="1">
        <w:r w:rsidRPr="000E0C38">
          <w:rPr>
            <w:rStyle w:val="Hyperlink"/>
            <w:rFonts w:ascii="Arial" w:hAnsi="Arial" w:cs="Arial"/>
            <w:color w:val="002060"/>
            <w:sz w:val="20"/>
            <w:szCs w:val="20"/>
          </w:rPr>
          <w:t>http://www.industrytap.com/global-construction-expected-to-increase-by-4-8-trillion-by-2020/1483</w:t>
        </w:r>
      </w:hyperlink>
    </w:p>
    <w:p w14:paraId="5DB0DCB6" w14:textId="77777777" w:rsidR="002E11F6" w:rsidRPr="000E0C38" w:rsidRDefault="002E11F6" w:rsidP="0071379F">
      <w:pPr>
        <w:pStyle w:val="FootnoteText"/>
        <w:spacing w:after="240" w:line="260" w:lineRule="atLeast"/>
        <w:rPr>
          <w:rFonts w:ascii="Arial" w:hAnsi="Arial" w:cs="Arial"/>
          <w:color w:val="002060"/>
        </w:rPr>
      </w:pPr>
      <w:r w:rsidRPr="000E0C38">
        <w:rPr>
          <w:rFonts w:ascii="Arial" w:hAnsi="Arial" w:cs="Arial"/>
        </w:rPr>
        <w:t xml:space="preserve">STEP (2016): STEP Research Series – 1 Career Guidance and </w:t>
      </w:r>
      <w:proofErr w:type="spellStart"/>
      <w:r w:rsidRPr="000E0C38">
        <w:rPr>
          <w:rFonts w:ascii="Arial" w:hAnsi="Arial" w:cs="Arial"/>
        </w:rPr>
        <w:t>Counseling</w:t>
      </w:r>
      <w:proofErr w:type="spellEnd"/>
      <w:r w:rsidRPr="000E0C38">
        <w:rPr>
          <w:rFonts w:ascii="Arial" w:hAnsi="Arial" w:cs="Arial"/>
        </w:rPr>
        <w:t xml:space="preserve"> – The Bridge from Secondary School to Tertiary Education </w:t>
      </w:r>
      <w:hyperlink r:id="rId68" w:history="1">
        <w:r w:rsidRPr="000E0C38">
          <w:rPr>
            <w:rStyle w:val="Hyperlink"/>
            <w:rFonts w:ascii="Arial" w:hAnsi="Arial" w:cs="Arial"/>
            <w:color w:val="002060"/>
          </w:rPr>
          <w:t>http://unesdoc.unesco.org/images/0024/002480/248069E.pdf</w:t>
        </w:r>
      </w:hyperlink>
    </w:p>
    <w:p w14:paraId="65100D87"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Taylor (2009) A definition and valuation of the UK offsite construction sector, in Construction</w:t>
      </w:r>
      <w:r w:rsidR="0071379F" w:rsidRPr="000E0C38">
        <w:rPr>
          <w:rFonts w:ascii="Arial" w:hAnsi="Arial" w:cs="Arial"/>
        </w:rPr>
        <w:t xml:space="preserve"> </w:t>
      </w:r>
      <w:r w:rsidRPr="000E0C38">
        <w:rPr>
          <w:rFonts w:ascii="Arial" w:hAnsi="Arial" w:cs="Arial"/>
        </w:rPr>
        <w:t>Management and Economics, Vol. 28(8), pp. 885–896, 2010.</w:t>
      </w:r>
    </w:p>
    <w:p w14:paraId="20C45CF4" w14:textId="7F213AA3" w:rsidR="00F238A5" w:rsidRPr="000E0C38" w:rsidRDefault="00F238A5" w:rsidP="00F238A5">
      <w:pPr>
        <w:spacing w:after="240" w:line="260" w:lineRule="atLeast"/>
        <w:rPr>
          <w:rFonts w:ascii="Arial" w:hAnsi="Arial" w:cs="Arial"/>
          <w:sz w:val="20"/>
          <w:szCs w:val="20"/>
        </w:rPr>
      </w:pPr>
      <w:r w:rsidRPr="000E0C38">
        <w:rPr>
          <w:rFonts w:ascii="Arial" w:hAnsi="Arial" w:cs="Arial"/>
          <w:sz w:val="20"/>
          <w:szCs w:val="20"/>
        </w:rPr>
        <w:t>Tiwari A.K. (2011). A causal analysis between construction flows and economic growth: evidence from India. Journal of International Business and Economy, 12(2), 27–42.</w:t>
      </w:r>
    </w:p>
    <w:p w14:paraId="33E3E4F6" w14:textId="58AA8530" w:rsidR="002E11F6" w:rsidRPr="000E0C38" w:rsidRDefault="002E11F6" w:rsidP="0071379F">
      <w:pPr>
        <w:spacing w:after="240" w:line="260" w:lineRule="atLeast"/>
        <w:rPr>
          <w:rFonts w:ascii="Arial" w:hAnsi="Arial" w:cs="Arial"/>
          <w:sz w:val="20"/>
          <w:szCs w:val="20"/>
        </w:rPr>
      </w:pPr>
      <w:r w:rsidRPr="000E0C38">
        <w:rPr>
          <w:rFonts w:ascii="Arial" w:hAnsi="Arial" w:cs="Arial"/>
          <w:sz w:val="20"/>
          <w:szCs w:val="20"/>
        </w:rPr>
        <w:t xml:space="preserve">United Nations (2014) World Urbanization Prospects. </w:t>
      </w:r>
      <w:hyperlink r:id="rId69" w:history="1">
        <w:r w:rsidRPr="000E0C38">
          <w:rPr>
            <w:rStyle w:val="Hyperlink"/>
            <w:rFonts w:ascii="Arial" w:hAnsi="Arial" w:cs="Arial"/>
            <w:color w:val="002060"/>
            <w:sz w:val="20"/>
            <w:szCs w:val="20"/>
          </w:rPr>
          <w:t>https://esa.un.org/unpd/wup/publications/files/wup2014-highlights.Pdf</w:t>
        </w:r>
      </w:hyperlink>
    </w:p>
    <w:p w14:paraId="48D380F1" w14:textId="77777777" w:rsidR="002E11F6" w:rsidRPr="000E0C38" w:rsidRDefault="002E11F6" w:rsidP="0071379F">
      <w:pPr>
        <w:spacing w:after="240" w:line="260" w:lineRule="atLeast"/>
        <w:rPr>
          <w:rStyle w:val="Hyperlink"/>
          <w:rFonts w:ascii="Arial" w:eastAsia="SimSun" w:hAnsi="Arial" w:cs="Arial"/>
          <w:color w:val="002060"/>
          <w:sz w:val="20"/>
          <w:szCs w:val="20"/>
        </w:rPr>
      </w:pPr>
      <w:r w:rsidRPr="000E0C38">
        <w:rPr>
          <w:rFonts w:ascii="Arial" w:eastAsia="SimSun" w:hAnsi="Arial" w:cs="Arial"/>
          <w:sz w:val="20"/>
          <w:szCs w:val="20"/>
        </w:rPr>
        <w:t>United Nations (2015)</w:t>
      </w:r>
      <w:r w:rsidRPr="000E0C38">
        <w:rPr>
          <w:rFonts w:ascii="Arial" w:eastAsia="SimSun" w:hAnsi="Arial" w:cs="Arial"/>
          <w:sz w:val="20"/>
          <w:szCs w:val="20"/>
          <w:lang w:eastAsia="zh-CN"/>
        </w:rPr>
        <w:t xml:space="preserve"> International Migration Report </w:t>
      </w:r>
      <w:hyperlink r:id="rId70" w:history="1">
        <w:r w:rsidRPr="000E0C38">
          <w:rPr>
            <w:rStyle w:val="Hyperlink"/>
            <w:rFonts w:ascii="Arial" w:eastAsia="SimSun" w:hAnsi="Arial" w:cs="Arial"/>
            <w:color w:val="002060"/>
            <w:sz w:val="20"/>
            <w:szCs w:val="20"/>
          </w:rPr>
          <w:t>http://www.un.org/en/development/desa/population/migration/publications/migrationreport/docs/MigrationReport2015_Highlights.pdf</w:t>
        </w:r>
      </w:hyperlink>
    </w:p>
    <w:p w14:paraId="78886AB6" w14:textId="6FF4C808" w:rsidR="00560CB6" w:rsidRPr="000E0C38" w:rsidRDefault="00560CB6" w:rsidP="0071379F">
      <w:pPr>
        <w:spacing w:after="240" w:line="260" w:lineRule="atLeast"/>
        <w:rPr>
          <w:rFonts w:ascii="Arial" w:eastAsia="SimSun" w:hAnsi="Arial" w:cs="Arial"/>
          <w:sz w:val="20"/>
          <w:szCs w:val="20"/>
          <w:lang w:eastAsia="zh-CN"/>
        </w:rPr>
      </w:pPr>
      <w:r w:rsidRPr="000E0C38">
        <w:rPr>
          <w:rFonts w:ascii="Arial" w:eastAsia="SimSun" w:hAnsi="Arial" w:cs="Arial"/>
          <w:sz w:val="20"/>
          <w:szCs w:val="20"/>
          <w:lang w:eastAsia="zh-CN"/>
        </w:rPr>
        <w:t xml:space="preserve">United Nations Statistical Commission (2002) International Standard Industrial Classification of All Economic Activities </w:t>
      </w:r>
      <w:r w:rsidRPr="000E0C38">
        <w:rPr>
          <w:rFonts w:ascii="Arial" w:eastAsia="SimSun" w:hAnsi="Arial" w:cs="Arial"/>
          <w:sz w:val="20"/>
          <w:szCs w:val="20"/>
          <w:lang w:eastAsia="zh-CN"/>
        </w:rPr>
        <w:br/>
      </w:r>
      <w:hyperlink r:id="rId71" w:history="1">
        <w:r w:rsidRPr="000E0C38">
          <w:rPr>
            <w:rStyle w:val="Hyperlink"/>
            <w:rFonts w:ascii="Arial" w:eastAsia="SimSun" w:hAnsi="Arial" w:cs="Arial"/>
            <w:color w:val="1F295F" w:themeColor="accent1" w:themeShade="BF"/>
            <w:sz w:val="20"/>
            <w:szCs w:val="20"/>
            <w:lang w:eastAsia="zh-CN"/>
          </w:rPr>
          <w:t>https://unstats.un.org/unsd/statcom/doc02/isic.pdf</w:t>
        </w:r>
      </w:hyperlink>
      <w:r w:rsidRPr="000E0C38">
        <w:rPr>
          <w:rFonts w:ascii="Arial" w:eastAsia="SimSun" w:hAnsi="Arial" w:cs="Arial"/>
          <w:sz w:val="20"/>
          <w:szCs w:val="20"/>
          <w:lang w:eastAsia="zh-CN"/>
        </w:rPr>
        <w:t xml:space="preserve"> </w:t>
      </w:r>
    </w:p>
    <w:p w14:paraId="750673A4"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 xml:space="preserve">US Department of </w:t>
      </w:r>
      <w:proofErr w:type="spellStart"/>
      <w:r w:rsidRPr="000E0C38">
        <w:rPr>
          <w:rFonts w:ascii="Arial" w:hAnsi="Arial" w:cs="Arial"/>
        </w:rPr>
        <w:t>Labor</w:t>
      </w:r>
      <w:proofErr w:type="spellEnd"/>
      <w:r w:rsidRPr="000E0C38">
        <w:rPr>
          <w:rFonts w:ascii="Arial" w:hAnsi="Arial" w:cs="Arial"/>
        </w:rPr>
        <w:t xml:space="preserve"> (2017) List of goods produced by child </w:t>
      </w:r>
      <w:proofErr w:type="spellStart"/>
      <w:r w:rsidRPr="000E0C38">
        <w:rPr>
          <w:rFonts w:ascii="Arial" w:hAnsi="Arial" w:cs="Arial"/>
        </w:rPr>
        <w:t>labor</w:t>
      </w:r>
      <w:proofErr w:type="spellEnd"/>
      <w:r w:rsidRPr="000E0C38">
        <w:rPr>
          <w:rFonts w:ascii="Arial" w:hAnsi="Arial" w:cs="Arial"/>
        </w:rPr>
        <w:t xml:space="preserve"> or forced </w:t>
      </w:r>
      <w:proofErr w:type="spellStart"/>
      <w:r w:rsidRPr="000E0C38">
        <w:rPr>
          <w:rFonts w:ascii="Arial" w:hAnsi="Arial" w:cs="Arial"/>
        </w:rPr>
        <w:t>labor</w:t>
      </w:r>
      <w:proofErr w:type="spellEnd"/>
      <w:r w:rsidRPr="000E0C38">
        <w:rPr>
          <w:rFonts w:ascii="Arial" w:hAnsi="Arial" w:cs="Arial"/>
        </w:rPr>
        <w:t xml:space="preserve">. </w:t>
      </w:r>
      <w:hyperlink r:id="rId72" w:history="1">
        <w:r w:rsidRPr="000E0C38">
          <w:rPr>
            <w:rStyle w:val="Hyperlink"/>
            <w:rFonts w:ascii="Arial" w:hAnsi="Arial" w:cs="Arial"/>
            <w:color w:val="002060"/>
          </w:rPr>
          <w:t>http://www.dol.gov/ilab/reports/pdf/TVPRA_Report2014.pdf</w:t>
        </w:r>
      </w:hyperlink>
      <w:r w:rsidRPr="000E0C38">
        <w:rPr>
          <w:rFonts w:ascii="Arial" w:hAnsi="Arial" w:cs="Arial"/>
          <w:color w:val="002060"/>
        </w:rPr>
        <w:t xml:space="preserve">. </w:t>
      </w:r>
    </w:p>
    <w:p w14:paraId="138F4F78" w14:textId="77777777" w:rsidR="002E11F6" w:rsidRPr="000E0C38" w:rsidRDefault="002E11F6" w:rsidP="0071379F">
      <w:pPr>
        <w:pStyle w:val="FootnoteText"/>
        <w:spacing w:after="240" w:line="260" w:lineRule="atLeast"/>
        <w:rPr>
          <w:rFonts w:ascii="Arial" w:hAnsi="Arial" w:cs="Arial"/>
        </w:rPr>
      </w:pPr>
      <w:proofErr w:type="spellStart"/>
      <w:r w:rsidRPr="000E0C38">
        <w:rPr>
          <w:rFonts w:ascii="Arial" w:hAnsi="Arial" w:cs="Arial"/>
        </w:rPr>
        <w:lastRenderedPageBreak/>
        <w:t>Vaid</w:t>
      </w:r>
      <w:proofErr w:type="spellEnd"/>
      <w:r w:rsidRPr="000E0C38">
        <w:rPr>
          <w:rFonts w:ascii="Arial" w:hAnsi="Arial" w:cs="Arial"/>
        </w:rPr>
        <w:t>, K.N. (1999) "Contract labour in the construction industry in India”, in D.P.A. Naidu (ed.): Contract labour in South Asia. Geneva, ILO, Bureau for Workers’ Activities.</w:t>
      </w:r>
    </w:p>
    <w:p w14:paraId="7BE86FDA"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 xml:space="preserve">Watts Bulletin (2010) Government cuts that threaten capital spending will have a knock-on effect on the wider economy at a rate of almost three to one, according to recent estimates, Issue 123, July 2010. </w:t>
      </w:r>
      <w:hyperlink r:id="rId73" w:history="1">
        <w:r w:rsidRPr="000E0C38">
          <w:rPr>
            <w:rStyle w:val="Hyperlink"/>
            <w:rFonts w:ascii="Arial" w:hAnsi="Arial" w:cs="Arial"/>
            <w:color w:val="002060"/>
          </w:rPr>
          <w:t>http://www.watts.co.uk/bulletins/rics-highlights-full-value-of-construction-to-economy/</w:t>
        </w:r>
      </w:hyperlink>
    </w:p>
    <w:p w14:paraId="1F18066B" w14:textId="77777777" w:rsidR="002E11F6" w:rsidRPr="000E0C38" w:rsidRDefault="002E11F6" w:rsidP="0071379F">
      <w:pPr>
        <w:pStyle w:val="FootnoteText"/>
        <w:spacing w:after="240" w:line="260" w:lineRule="atLeast"/>
        <w:rPr>
          <w:rFonts w:ascii="Arial" w:hAnsi="Arial" w:cs="Arial"/>
          <w:color w:val="002060"/>
        </w:rPr>
      </w:pPr>
      <w:r w:rsidRPr="000E0C38">
        <w:rPr>
          <w:rFonts w:ascii="Arial" w:hAnsi="Arial" w:cs="Arial"/>
        </w:rPr>
        <w:t xml:space="preserve">Weeks (2011) Health and safety hazards in the construction industry. </w:t>
      </w:r>
      <w:hyperlink r:id="rId74" w:history="1">
        <w:r w:rsidRPr="000E0C38">
          <w:rPr>
            <w:rStyle w:val="Hyperlink"/>
            <w:rFonts w:ascii="Arial" w:hAnsi="Arial" w:cs="Arial"/>
            <w:color w:val="002060"/>
          </w:rPr>
          <w:t>https://es.scribd.com/document/207967526/Health-and-Safety-Hazards-in-the-Construction-Industry</w:t>
        </w:r>
      </w:hyperlink>
    </w:p>
    <w:p w14:paraId="77BAF309" w14:textId="77777777" w:rsidR="002E11F6" w:rsidRPr="000E0C38" w:rsidRDefault="002E11F6" w:rsidP="0071379F">
      <w:pPr>
        <w:pStyle w:val="FootnoteText"/>
        <w:spacing w:after="240" w:line="260" w:lineRule="atLeast"/>
        <w:rPr>
          <w:rFonts w:ascii="Arial" w:hAnsi="Arial" w:cs="Arial"/>
        </w:rPr>
      </w:pPr>
      <w:r w:rsidRPr="000E0C38">
        <w:rPr>
          <w:rFonts w:ascii="Arial" w:hAnsi="Arial" w:cs="Arial"/>
        </w:rPr>
        <w:t>Wells, J. (1996) Labour migration and international construction, in Habitat International, Vol. 20, No. 2, pp. 295–306.</w:t>
      </w:r>
      <w:r w:rsidRPr="000E0C38">
        <w:rPr>
          <w:rFonts w:ascii="Arial" w:hAnsi="Arial" w:cs="Arial"/>
          <w:color w:val="002060"/>
        </w:rPr>
        <w:t xml:space="preserve"> </w:t>
      </w:r>
      <w:hyperlink r:id="rId75" w:history="1">
        <w:r w:rsidRPr="000E0C38">
          <w:rPr>
            <w:rStyle w:val="Hyperlink"/>
            <w:rFonts w:ascii="Arial" w:hAnsi="Arial" w:cs="Arial"/>
            <w:color w:val="002060"/>
          </w:rPr>
          <w:t>http://www.sciencedirect.com/science/article/pii/019739759500064X</w:t>
        </w:r>
      </w:hyperlink>
    </w:p>
    <w:p w14:paraId="5A0A9B00" w14:textId="77777777" w:rsidR="002E11F6" w:rsidRPr="000E0C38" w:rsidRDefault="002E11F6" w:rsidP="0071379F">
      <w:pPr>
        <w:spacing w:after="240" w:line="260" w:lineRule="atLeast"/>
        <w:rPr>
          <w:rFonts w:ascii="Arial" w:hAnsi="Arial" w:cs="Arial"/>
          <w:sz w:val="20"/>
          <w:szCs w:val="20"/>
        </w:rPr>
      </w:pPr>
      <w:r w:rsidRPr="000E0C38">
        <w:rPr>
          <w:rFonts w:ascii="Arial" w:hAnsi="Arial" w:cs="Arial"/>
          <w:sz w:val="20"/>
          <w:szCs w:val="20"/>
        </w:rPr>
        <w:t>Wells, J</w:t>
      </w:r>
      <w:r w:rsidR="0089618C" w:rsidRPr="000E0C38">
        <w:rPr>
          <w:rFonts w:ascii="Arial" w:hAnsi="Arial" w:cs="Arial"/>
          <w:sz w:val="20"/>
          <w:szCs w:val="20"/>
        </w:rPr>
        <w:t>.</w:t>
      </w:r>
      <w:r w:rsidRPr="000E0C38">
        <w:rPr>
          <w:rFonts w:ascii="Arial" w:hAnsi="Arial" w:cs="Arial"/>
          <w:sz w:val="20"/>
          <w:szCs w:val="20"/>
        </w:rPr>
        <w:t xml:space="preserve"> (2006) Subcontracting in the Construction Industries of Developing Countries: An Assessment from Two Perspectives. </w:t>
      </w:r>
      <w:hyperlink r:id="rId76" w:history="1">
        <w:r w:rsidRPr="000E0C38">
          <w:rPr>
            <w:rStyle w:val="Hyperlink"/>
            <w:rFonts w:ascii="Arial" w:hAnsi="Arial" w:cs="Arial"/>
            <w:color w:val="002060"/>
            <w:sz w:val="20"/>
            <w:szCs w:val="20"/>
          </w:rPr>
          <w:t>http://web.usm.my/jcdc/vol11_1_2006/2_Jill%20Wells(p.17-36).pdf</w:t>
        </w:r>
      </w:hyperlink>
    </w:p>
    <w:p w14:paraId="63E93D38" w14:textId="38D38018" w:rsidR="002E11F6" w:rsidRPr="000E0C38" w:rsidRDefault="002E11F6" w:rsidP="0071379F">
      <w:pPr>
        <w:spacing w:after="240" w:line="260" w:lineRule="atLeast"/>
        <w:rPr>
          <w:rStyle w:val="Hyperlink"/>
          <w:rFonts w:ascii="Arial" w:hAnsi="Arial" w:cs="Arial"/>
          <w:color w:val="002060"/>
          <w:sz w:val="20"/>
          <w:szCs w:val="20"/>
        </w:rPr>
      </w:pPr>
      <w:r w:rsidRPr="000E0C38">
        <w:rPr>
          <w:rFonts w:ascii="Arial" w:hAnsi="Arial" w:cs="Arial"/>
          <w:sz w:val="20"/>
          <w:szCs w:val="20"/>
        </w:rPr>
        <w:t xml:space="preserve">Wells, J. (2007) Informality in the construction sector in developing countries. Construction Management and Economics Vol. 25, </w:t>
      </w:r>
      <w:proofErr w:type="spellStart"/>
      <w:r w:rsidRPr="000E0C38">
        <w:rPr>
          <w:rFonts w:ascii="Arial" w:hAnsi="Arial" w:cs="Arial"/>
          <w:sz w:val="20"/>
          <w:szCs w:val="20"/>
        </w:rPr>
        <w:t>Iss</w:t>
      </w:r>
      <w:proofErr w:type="spellEnd"/>
      <w:r w:rsidRPr="000E0C38">
        <w:rPr>
          <w:rFonts w:ascii="Arial" w:hAnsi="Arial" w:cs="Arial"/>
          <w:sz w:val="20"/>
          <w:szCs w:val="20"/>
        </w:rPr>
        <w:t>. 1,</w:t>
      </w:r>
      <w:r w:rsidR="00BD0976" w:rsidRPr="000E0C38">
        <w:rPr>
          <w:rFonts w:ascii="Arial" w:hAnsi="Arial" w:cs="Arial"/>
          <w:sz w:val="20"/>
          <w:szCs w:val="20"/>
        </w:rPr>
        <w:t xml:space="preserve"> </w:t>
      </w:r>
      <w:r w:rsidRPr="000E0C38">
        <w:rPr>
          <w:rFonts w:ascii="Arial" w:hAnsi="Arial" w:cs="Arial"/>
          <w:sz w:val="20"/>
          <w:szCs w:val="20"/>
        </w:rPr>
        <w:t xml:space="preserve">2007. </w:t>
      </w:r>
      <w:hyperlink r:id="rId77" w:history="1">
        <w:r w:rsidRPr="000E0C38">
          <w:rPr>
            <w:rStyle w:val="Hyperlink"/>
            <w:rFonts w:ascii="Arial" w:hAnsi="Arial" w:cs="Arial"/>
            <w:color w:val="002060"/>
            <w:sz w:val="20"/>
            <w:szCs w:val="20"/>
          </w:rPr>
          <w:t>http://www.tandfonline.com/doi/abs/10.1080/01446190600601339</w:t>
        </w:r>
      </w:hyperlink>
    </w:p>
    <w:p w14:paraId="4725F38B" w14:textId="24E5DC62" w:rsidR="0056084E" w:rsidRPr="000E0C38" w:rsidRDefault="0056084E" w:rsidP="0056084E">
      <w:pPr>
        <w:spacing w:after="240" w:line="260" w:lineRule="atLeast"/>
        <w:rPr>
          <w:rFonts w:ascii="Arial" w:hAnsi="Arial" w:cs="Arial"/>
          <w:sz w:val="20"/>
          <w:szCs w:val="20"/>
        </w:rPr>
      </w:pPr>
      <w:proofErr w:type="spellStart"/>
      <w:r w:rsidRPr="000E0C38">
        <w:rPr>
          <w:rFonts w:ascii="Arial" w:hAnsi="Arial" w:cs="Arial"/>
          <w:sz w:val="20"/>
          <w:szCs w:val="20"/>
        </w:rPr>
        <w:t>Wibowo</w:t>
      </w:r>
      <w:proofErr w:type="spellEnd"/>
      <w:r w:rsidRPr="000E0C38">
        <w:rPr>
          <w:rFonts w:ascii="Arial" w:hAnsi="Arial" w:cs="Arial"/>
          <w:sz w:val="20"/>
          <w:szCs w:val="20"/>
        </w:rPr>
        <w:t xml:space="preserve"> M. A. (2009) </w:t>
      </w:r>
      <w:proofErr w:type="gramStart"/>
      <w:r w:rsidRPr="000E0C38">
        <w:rPr>
          <w:rFonts w:ascii="Arial" w:hAnsi="Arial" w:cs="Arial"/>
          <w:sz w:val="20"/>
          <w:szCs w:val="20"/>
        </w:rPr>
        <w:t>The</w:t>
      </w:r>
      <w:proofErr w:type="gramEnd"/>
      <w:r w:rsidRPr="000E0C38">
        <w:rPr>
          <w:rFonts w:ascii="Arial" w:hAnsi="Arial" w:cs="Arial"/>
          <w:sz w:val="20"/>
          <w:szCs w:val="20"/>
        </w:rPr>
        <w:t xml:space="preserve"> Contribution of the Construction Industry to the Economy of Indonesia: A Systemic Approach</w:t>
      </w:r>
    </w:p>
    <w:p w14:paraId="280C9A4D" w14:textId="77777777" w:rsidR="0056084E" w:rsidRPr="000E0C38" w:rsidRDefault="0056084E" w:rsidP="0071379F">
      <w:pPr>
        <w:spacing w:after="240" w:line="260" w:lineRule="atLeast"/>
        <w:rPr>
          <w:rFonts w:ascii="Arial" w:hAnsi="Arial" w:cs="Arial"/>
          <w:sz w:val="20"/>
          <w:szCs w:val="20"/>
        </w:rPr>
      </w:pPr>
    </w:p>
    <w:p w14:paraId="4145DAF1" w14:textId="77777777" w:rsidR="0067409F" w:rsidRDefault="0067409F" w:rsidP="00C51F10">
      <w:pPr>
        <w:pStyle w:val="BodyText"/>
        <w:sectPr w:rsidR="0067409F" w:rsidSect="00EA15D0">
          <w:headerReference w:type="default" r:id="rId78"/>
          <w:pgSz w:w="11906" w:h="16838"/>
          <w:pgMar w:top="1417" w:right="1133" w:bottom="1417" w:left="1276" w:header="708" w:footer="708" w:gutter="0"/>
          <w:cols w:space="708"/>
          <w:docGrid w:linePitch="360"/>
        </w:sectPr>
      </w:pPr>
    </w:p>
    <w:p w14:paraId="2FED36F4" w14:textId="50EFBB1F" w:rsidR="0067409F" w:rsidRPr="002C7037" w:rsidRDefault="00AE659A" w:rsidP="002C7037">
      <w:pPr>
        <w:pStyle w:val="Heading1NoSpacing"/>
        <w:framePr w:wrap="auto" w:xAlign="left"/>
        <w:pBdr>
          <w:top w:val="none" w:sz="0" w:space="0" w:color="auto"/>
        </w:pBdr>
        <w:spacing w:after="240" w:line="240" w:lineRule="auto"/>
        <w:ind w:left="0"/>
        <w:rPr>
          <w:b w:val="0"/>
          <w:bCs w:val="0"/>
          <w:i w:val="0"/>
          <w:sz w:val="44"/>
          <w:szCs w:val="44"/>
        </w:rPr>
      </w:pPr>
      <w:bookmarkStart w:id="49" w:name="_Toc498019415"/>
      <w:r w:rsidRPr="00AE659A">
        <w:rPr>
          <w:rFonts w:eastAsia="Times New Roman" w:cstheme="minorHAnsi"/>
          <w:noProof/>
          <w:color w:val="000000"/>
          <w:sz w:val="18"/>
          <w:szCs w:val="18"/>
          <w:lang w:eastAsia="en-GB"/>
        </w:rPr>
        <w:lastRenderedPageBreak/>
        <mc:AlternateContent>
          <mc:Choice Requires="wps">
            <w:drawing>
              <wp:anchor distT="45720" distB="45720" distL="114300" distR="114300" simplePos="0" relativeHeight="251665408" behindDoc="0" locked="0" layoutInCell="1" allowOverlap="1" wp14:anchorId="7F0BFDC0" wp14:editId="35638D88">
                <wp:simplePos x="0" y="0"/>
                <wp:positionH relativeFrom="column">
                  <wp:posOffset>13970</wp:posOffset>
                </wp:positionH>
                <wp:positionV relativeFrom="paragraph">
                  <wp:posOffset>6038850</wp:posOffset>
                </wp:positionV>
                <wp:extent cx="2360930" cy="140462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A5E4D2" w14:textId="07C271E9" w:rsidR="006A62B6" w:rsidRPr="00AE659A" w:rsidRDefault="006A62B6">
                            <w:pPr>
                              <w:rPr>
                                <w:sz w:val="16"/>
                              </w:rPr>
                            </w:pPr>
                            <w:r w:rsidRPr="00AE659A">
                              <w:rPr>
                                <w:sz w:val="16"/>
                              </w:rPr>
                              <w:t>Source: ILO (2015a)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0BFDC0" id="_x0000_s1030" type="#_x0000_t202" style="position:absolute;margin-left:1.1pt;margin-top:475.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" stroked="f">
                <v:textbox style="mso-fit-shape-to-text:t">
                  <w:txbxContent>
                    <w:p w14:paraId="5CA5E4D2" w14:textId="07C271E9" w:rsidR="006A62B6" w:rsidRPr="00AE659A" w:rsidRDefault="006A62B6">
                      <w:pPr>
                        <w:rPr>
                          <w:sz w:val="16"/>
                        </w:rPr>
                      </w:pPr>
                      <w:r w:rsidRPr="00AE659A">
                        <w:rPr>
                          <w:sz w:val="16"/>
                        </w:rPr>
                        <w:t>Source: ILO (2015a)</w:t>
                      </w:r>
                    </w:p>
                  </w:txbxContent>
                </v:textbox>
              </v:shape>
            </w:pict>
          </mc:Fallback>
        </mc:AlternateContent>
      </w:r>
      <w:r w:rsidR="0067409F" w:rsidRPr="002C7037">
        <w:rPr>
          <w:sz w:val="44"/>
          <w:szCs w:val="44"/>
        </w:rPr>
        <w:t>Annex</w:t>
      </w:r>
      <w:r w:rsidR="0071379F" w:rsidRPr="002C7037">
        <w:rPr>
          <w:sz w:val="44"/>
          <w:szCs w:val="44"/>
        </w:rPr>
        <w:t xml:space="preserve"> A:</w:t>
      </w:r>
      <w:r w:rsidR="0067409F" w:rsidRPr="002C7037">
        <w:rPr>
          <w:sz w:val="44"/>
          <w:szCs w:val="44"/>
        </w:rPr>
        <w:t xml:space="preserve"> Employment in the construction sector in DFID countries of focus</w:t>
      </w:r>
      <w:bookmarkEnd w:id="49"/>
    </w:p>
    <w:tbl>
      <w:tblPr>
        <w:tblStyle w:val="Normaltablestyle"/>
        <w:tblW w:w="14613" w:type="dxa"/>
        <w:tblLook w:val="04A0" w:firstRow="1" w:lastRow="0" w:firstColumn="1" w:lastColumn="0" w:noHBand="0" w:noVBand="1"/>
      </w:tblPr>
      <w:tblGrid>
        <w:gridCol w:w="2802"/>
        <w:gridCol w:w="2126"/>
        <w:gridCol w:w="1843"/>
        <w:gridCol w:w="1670"/>
        <w:gridCol w:w="1417"/>
        <w:gridCol w:w="1669"/>
        <w:gridCol w:w="1417"/>
        <w:gridCol w:w="1669"/>
      </w:tblGrid>
      <w:tr w:rsidR="00BB63CD" w:rsidRPr="00432BEF" w14:paraId="56327C8D" w14:textId="77777777" w:rsidTr="00BB63CD">
        <w:trPr>
          <w:cnfStyle w:val="100000000000" w:firstRow="1" w:lastRow="0" w:firstColumn="0" w:lastColumn="0" w:oddVBand="0" w:evenVBand="0" w:oddHBand="0" w:evenHBand="0" w:firstRowFirstColumn="0" w:firstRowLastColumn="0" w:lastRowFirstColumn="0" w:lastRowLastColumn="0"/>
          <w:trHeight w:val="951"/>
        </w:trPr>
        <w:tc>
          <w:tcPr>
            <w:tcW w:w="2802" w:type="dxa"/>
            <w:shd w:val="clear" w:color="auto" w:fill="CBD1EE" w:themeFill="text2" w:themeFillTint="33"/>
            <w:hideMark/>
          </w:tcPr>
          <w:p w14:paraId="3A61FB98" w14:textId="77777777" w:rsidR="0067409F" w:rsidRPr="00432BEF" w:rsidRDefault="0067409F" w:rsidP="002C7037">
            <w:pPr>
              <w:rPr>
                <w:rFonts w:eastAsia="Times New Roman" w:cstheme="minorHAnsi"/>
                <w:bCs/>
                <w:sz w:val="18"/>
                <w:szCs w:val="18"/>
                <w:lang w:val="es-ES" w:eastAsia="zh-CN"/>
              </w:rPr>
            </w:pPr>
            <w:r w:rsidRPr="00432BEF">
              <w:rPr>
                <w:rFonts w:eastAsia="Times New Roman" w:cstheme="minorHAnsi"/>
                <w:bCs/>
                <w:sz w:val="18"/>
                <w:szCs w:val="18"/>
                <w:lang w:val="es-ES" w:eastAsia="zh-CN"/>
              </w:rPr>
              <w:t>Country</w:t>
            </w:r>
          </w:p>
        </w:tc>
        <w:tc>
          <w:tcPr>
            <w:tcW w:w="2126" w:type="dxa"/>
            <w:shd w:val="clear" w:color="auto" w:fill="CBD1EE" w:themeFill="text2" w:themeFillTint="33"/>
            <w:hideMark/>
          </w:tcPr>
          <w:p w14:paraId="5BFDBE99" w14:textId="77777777" w:rsidR="0067409F" w:rsidRPr="00432BEF" w:rsidRDefault="0067409F" w:rsidP="002C7037">
            <w:pPr>
              <w:rPr>
                <w:rFonts w:eastAsia="Times New Roman" w:cstheme="minorHAnsi"/>
                <w:bCs/>
                <w:sz w:val="18"/>
                <w:szCs w:val="18"/>
                <w:lang w:eastAsia="zh-CN"/>
              </w:rPr>
            </w:pPr>
            <w:r w:rsidRPr="00432BEF">
              <w:rPr>
                <w:rFonts w:eastAsia="Times New Roman" w:cstheme="minorHAnsi"/>
                <w:bCs/>
                <w:sz w:val="18"/>
                <w:szCs w:val="18"/>
                <w:lang w:eastAsia="zh-CN"/>
              </w:rPr>
              <w:t xml:space="preserve">Proportion of the workforce employed in construction </w:t>
            </w:r>
            <w:r w:rsidR="008906A9" w:rsidRPr="00432BEF">
              <w:rPr>
                <w:rFonts w:eastAsia="Times New Roman" w:cstheme="minorHAnsi"/>
                <w:bCs/>
                <w:sz w:val="18"/>
                <w:szCs w:val="18"/>
                <w:lang w:eastAsia="zh-CN"/>
              </w:rPr>
              <w:t>(2014)</w:t>
            </w:r>
          </w:p>
        </w:tc>
        <w:tc>
          <w:tcPr>
            <w:tcW w:w="1843" w:type="dxa"/>
            <w:shd w:val="clear" w:color="auto" w:fill="CBD1EE" w:themeFill="text2" w:themeFillTint="33"/>
            <w:hideMark/>
          </w:tcPr>
          <w:p w14:paraId="3085DF41" w14:textId="77777777" w:rsidR="0067409F" w:rsidRPr="00432BEF" w:rsidRDefault="0067409F" w:rsidP="002C7037">
            <w:pPr>
              <w:rPr>
                <w:rFonts w:eastAsia="Times New Roman" w:cstheme="minorHAnsi"/>
                <w:bCs/>
                <w:sz w:val="18"/>
                <w:szCs w:val="18"/>
                <w:lang w:eastAsia="zh-CN"/>
              </w:rPr>
            </w:pPr>
            <w:r w:rsidRPr="00432BEF">
              <w:rPr>
                <w:rFonts w:eastAsia="Times New Roman" w:cstheme="minorHAnsi"/>
                <w:bCs/>
                <w:sz w:val="18"/>
                <w:szCs w:val="18"/>
                <w:lang w:eastAsia="zh-CN"/>
              </w:rPr>
              <w:t>Expected CAGR of construction employment 2014-2019</w:t>
            </w:r>
          </w:p>
        </w:tc>
        <w:tc>
          <w:tcPr>
            <w:tcW w:w="1670" w:type="dxa"/>
            <w:shd w:val="clear" w:color="auto" w:fill="CBD1EE" w:themeFill="text2" w:themeFillTint="33"/>
            <w:hideMark/>
          </w:tcPr>
          <w:p w14:paraId="1AD29B21" w14:textId="398B40F7" w:rsidR="0067409F" w:rsidRPr="00432BEF" w:rsidRDefault="0067409F" w:rsidP="00E2380C">
            <w:pPr>
              <w:rPr>
                <w:rFonts w:eastAsia="Times New Roman" w:cstheme="minorHAnsi"/>
                <w:bCs/>
                <w:sz w:val="18"/>
                <w:szCs w:val="18"/>
                <w:lang w:eastAsia="zh-CN"/>
              </w:rPr>
            </w:pPr>
            <w:r w:rsidRPr="00432BEF">
              <w:rPr>
                <w:rFonts w:eastAsia="Times New Roman" w:cstheme="minorHAnsi"/>
                <w:bCs/>
                <w:sz w:val="18"/>
                <w:szCs w:val="18"/>
                <w:lang w:eastAsia="zh-CN"/>
              </w:rPr>
              <w:t>Total Construction Employment (2014)</w:t>
            </w:r>
            <w:r w:rsidR="008906A9" w:rsidRPr="00432BEF">
              <w:rPr>
                <w:rFonts w:eastAsia="Times New Roman" w:cstheme="minorHAnsi"/>
                <w:bCs/>
                <w:sz w:val="18"/>
                <w:szCs w:val="18"/>
                <w:lang w:eastAsia="zh-CN"/>
              </w:rPr>
              <w:t xml:space="preserve"> (In </w:t>
            </w:r>
            <w:r w:rsidR="00BB63CD" w:rsidRPr="00432BEF">
              <w:rPr>
                <w:rFonts w:eastAsia="Times New Roman" w:cstheme="minorHAnsi"/>
                <w:bCs/>
                <w:sz w:val="18"/>
                <w:szCs w:val="18"/>
                <w:lang w:eastAsia="zh-CN"/>
              </w:rPr>
              <w:t>‘000</w:t>
            </w:r>
            <w:r w:rsidR="008906A9" w:rsidRPr="00432BEF">
              <w:rPr>
                <w:rFonts w:eastAsia="Times New Roman" w:cstheme="minorHAnsi"/>
                <w:bCs/>
                <w:sz w:val="18"/>
                <w:szCs w:val="18"/>
                <w:lang w:eastAsia="zh-CN"/>
              </w:rPr>
              <w:t>s)</w:t>
            </w:r>
          </w:p>
        </w:tc>
        <w:tc>
          <w:tcPr>
            <w:tcW w:w="1417" w:type="dxa"/>
            <w:shd w:val="clear" w:color="auto" w:fill="CBD1EE" w:themeFill="text2" w:themeFillTint="33"/>
            <w:hideMark/>
          </w:tcPr>
          <w:p w14:paraId="1C9604A7" w14:textId="77777777" w:rsidR="0067409F" w:rsidRPr="000E0C38" w:rsidRDefault="0067409F" w:rsidP="00214B26">
            <w:pPr>
              <w:rPr>
                <w:rFonts w:eastAsia="Times New Roman" w:cstheme="minorHAnsi"/>
                <w:bCs/>
                <w:sz w:val="18"/>
                <w:szCs w:val="18"/>
                <w:lang w:eastAsia="zh-CN"/>
              </w:rPr>
            </w:pPr>
            <w:proofErr w:type="spellStart"/>
            <w:r w:rsidRPr="00432BEF">
              <w:rPr>
                <w:rFonts w:eastAsia="Times New Roman" w:cstheme="minorHAnsi"/>
                <w:bCs/>
                <w:sz w:val="18"/>
                <w:szCs w:val="18"/>
                <w:lang w:val="es-ES" w:eastAsia="zh-CN"/>
              </w:rPr>
              <w:t>Male</w:t>
            </w:r>
            <w:proofErr w:type="spellEnd"/>
            <w:r w:rsidRPr="000E0C38">
              <w:rPr>
                <w:rFonts w:eastAsia="Times New Roman" w:cstheme="minorHAnsi"/>
                <w:bCs/>
                <w:sz w:val="18"/>
                <w:szCs w:val="18"/>
                <w:lang w:eastAsia="zh-CN"/>
              </w:rPr>
              <w:t xml:space="preserve"> Employment</w:t>
            </w:r>
            <w:r w:rsidRPr="00432BEF">
              <w:rPr>
                <w:rFonts w:eastAsia="Times New Roman" w:cstheme="minorHAnsi"/>
                <w:bCs/>
                <w:sz w:val="18"/>
                <w:szCs w:val="18"/>
                <w:lang w:val="es-ES" w:eastAsia="zh-CN"/>
              </w:rPr>
              <w:t xml:space="preserve"> (</w:t>
            </w:r>
            <w:r w:rsidR="00214B26" w:rsidRPr="00432BEF">
              <w:rPr>
                <w:rFonts w:eastAsia="Times New Roman" w:cstheme="minorHAnsi"/>
                <w:bCs/>
                <w:sz w:val="18"/>
                <w:szCs w:val="18"/>
                <w:lang w:val="es-ES" w:eastAsia="zh-CN"/>
              </w:rPr>
              <w:t>000s</w:t>
            </w:r>
            <w:r w:rsidRPr="00432BEF">
              <w:rPr>
                <w:rFonts w:eastAsia="Times New Roman" w:cstheme="minorHAnsi"/>
                <w:bCs/>
                <w:sz w:val="18"/>
                <w:szCs w:val="18"/>
                <w:lang w:val="es-ES" w:eastAsia="zh-CN"/>
              </w:rPr>
              <w:t>)</w:t>
            </w:r>
          </w:p>
        </w:tc>
        <w:tc>
          <w:tcPr>
            <w:tcW w:w="1669" w:type="dxa"/>
            <w:shd w:val="clear" w:color="auto" w:fill="CBD1EE" w:themeFill="text2" w:themeFillTint="33"/>
            <w:hideMark/>
          </w:tcPr>
          <w:p w14:paraId="423D2EF8" w14:textId="77777777" w:rsidR="0067409F" w:rsidRPr="00432BEF" w:rsidRDefault="0067409F" w:rsidP="00214B26">
            <w:pPr>
              <w:rPr>
                <w:rFonts w:eastAsia="Times New Roman" w:cstheme="minorHAnsi"/>
                <w:bCs/>
                <w:sz w:val="18"/>
                <w:szCs w:val="18"/>
                <w:lang w:val="es-ES" w:eastAsia="zh-CN"/>
              </w:rPr>
            </w:pPr>
            <w:r w:rsidRPr="000E0C38">
              <w:rPr>
                <w:rFonts w:eastAsia="Times New Roman" w:cstheme="minorHAnsi"/>
                <w:bCs/>
                <w:sz w:val="18"/>
                <w:szCs w:val="18"/>
                <w:lang w:eastAsia="zh-CN"/>
              </w:rPr>
              <w:t>Female</w:t>
            </w:r>
            <w:r w:rsidRPr="00432BEF">
              <w:rPr>
                <w:rFonts w:eastAsia="Times New Roman" w:cstheme="minorHAnsi"/>
                <w:bCs/>
                <w:sz w:val="18"/>
                <w:szCs w:val="18"/>
                <w:lang w:val="es-ES" w:eastAsia="zh-CN"/>
              </w:rPr>
              <w:t xml:space="preserve">  </w:t>
            </w:r>
            <w:r w:rsidRPr="000E0C38">
              <w:rPr>
                <w:rFonts w:eastAsia="Times New Roman" w:cstheme="minorHAnsi"/>
                <w:bCs/>
                <w:sz w:val="18"/>
                <w:szCs w:val="18"/>
                <w:lang w:eastAsia="zh-CN"/>
              </w:rPr>
              <w:t>Employment</w:t>
            </w:r>
            <w:r w:rsidRPr="00432BEF">
              <w:rPr>
                <w:rFonts w:eastAsia="Times New Roman" w:cstheme="minorHAnsi"/>
                <w:bCs/>
                <w:sz w:val="18"/>
                <w:szCs w:val="18"/>
                <w:lang w:val="es-ES" w:eastAsia="zh-CN"/>
              </w:rPr>
              <w:t xml:space="preserve"> (</w:t>
            </w:r>
            <w:r w:rsidR="00214B26" w:rsidRPr="00432BEF">
              <w:rPr>
                <w:rFonts w:eastAsia="Times New Roman" w:cstheme="minorHAnsi"/>
                <w:bCs/>
                <w:sz w:val="18"/>
                <w:szCs w:val="18"/>
                <w:lang w:val="es-ES" w:eastAsia="zh-CN"/>
              </w:rPr>
              <w:t>000s</w:t>
            </w:r>
            <w:r w:rsidRPr="00432BEF">
              <w:rPr>
                <w:rFonts w:eastAsia="Times New Roman" w:cstheme="minorHAnsi"/>
                <w:bCs/>
                <w:sz w:val="18"/>
                <w:szCs w:val="18"/>
                <w:lang w:val="es-ES" w:eastAsia="zh-CN"/>
              </w:rPr>
              <w:t>)</w:t>
            </w:r>
          </w:p>
        </w:tc>
        <w:tc>
          <w:tcPr>
            <w:tcW w:w="1417" w:type="dxa"/>
            <w:shd w:val="clear" w:color="auto" w:fill="CBD1EE" w:themeFill="text2" w:themeFillTint="33"/>
            <w:hideMark/>
          </w:tcPr>
          <w:p w14:paraId="403FB1B1" w14:textId="77777777" w:rsidR="0067409F" w:rsidRPr="00432BEF" w:rsidRDefault="0067409F" w:rsidP="002C7037">
            <w:pPr>
              <w:rPr>
                <w:rFonts w:eastAsia="Times New Roman" w:cstheme="minorHAnsi"/>
                <w:bCs/>
                <w:sz w:val="18"/>
                <w:szCs w:val="18"/>
                <w:lang w:val="es-ES" w:eastAsia="zh-CN"/>
              </w:rPr>
            </w:pPr>
            <w:proofErr w:type="spellStart"/>
            <w:r w:rsidRPr="00432BEF">
              <w:rPr>
                <w:rFonts w:eastAsia="Times New Roman" w:cstheme="minorHAnsi"/>
                <w:bCs/>
                <w:sz w:val="18"/>
                <w:szCs w:val="18"/>
                <w:lang w:val="es-ES" w:eastAsia="zh-CN"/>
              </w:rPr>
              <w:t>Male</w:t>
            </w:r>
            <w:proofErr w:type="spellEnd"/>
            <w:r w:rsidRPr="000E0C38">
              <w:rPr>
                <w:rFonts w:eastAsia="Times New Roman" w:cstheme="minorHAnsi"/>
                <w:bCs/>
                <w:sz w:val="18"/>
                <w:szCs w:val="18"/>
                <w:lang w:eastAsia="zh-CN"/>
              </w:rPr>
              <w:t xml:space="preserve"> Employment</w:t>
            </w:r>
            <w:r w:rsidRPr="00432BEF">
              <w:rPr>
                <w:rFonts w:eastAsia="Times New Roman" w:cstheme="minorHAnsi"/>
                <w:bCs/>
                <w:sz w:val="18"/>
                <w:szCs w:val="18"/>
                <w:lang w:val="es-ES" w:eastAsia="zh-CN"/>
              </w:rPr>
              <w:t xml:space="preserve"> (Per cent)</w:t>
            </w:r>
          </w:p>
        </w:tc>
        <w:tc>
          <w:tcPr>
            <w:tcW w:w="1669" w:type="dxa"/>
            <w:shd w:val="clear" w:color="auto" w:fill="CBD1EE" w:themeFill="text2" w:themeFillTint="33"/>
            <w:hideMark/>
          </w:tcPr>
          <w:p w14:paraId="6690A5B8" w14:textId="77777777" w:rsidR="0067409F" w:rsidRPr="00432BEF" w:rsidRDefault="0067409F" w:rsidP="002C7037">
            <w:pPr>
              <w:rPr>
                <w:rFonts w:eastAsia="Times New Roman" w:cstheme="minorHAnsi"/>
                <w:bCs/>
                <w:sz w:val="18"/>
                <w:szCs w:val="18"/>
                <w:lang w:val="es-ES" w:eastAsia="zh-CN"/>
              </w:rPr>
            </w:pPr>
            <w:proofErr w:type="spellStart"/>
            <w:r w:rsidRPr="00432BEF">
              <w:rPr>
                <w:rFonts w:eastAsia="Times New Roman" w:cstheme="minorHAnsi"/>
                <w:bCs/>
                <w:sz w:val="18"/>
                <w:szCs w:val="18"/>
                <w:lang w:val="es-ES" w:eastAsia="zh-CN"/>
              </w:rPr>
              <w:t>Female</w:t>
            </w:r>
            <w:proofErr w:type="spellEnd"/>
            <w:r w:rsidRPr="00432BEF">
              <w:rPr>
                <w:rFonts w:eastAsia="Times New Roman" w:cstheme="minorHAnsi"/>
                <w:bCs/>
                <w:sz w:val="18"/>
                <w:szCs w:val="18"/>
                <w:lang w:val="es-ES" w:eastAsia="zh-CN"/>
              </w:rPr>
              <w:t xml:space="preserve"> </w:t>
            </w:r>
            <w:proofErr w:type="spellStart"/>
            <w:r w:rsidRPr="00432BEF">
              <w:rPr>
                <w:rFonts w:eastAsia="Times New Roman" w:cstheme="minorHAnsi"/>
                <w:bCs/>
                <w:sz w:val="18"/>
                <w:szCs w:val="18"/>
                <w:lang w:val="es-ES" w:eastAsia="zh-CN"/>
              </w:rPr>
              <w:t>Employment</w:t>
            </w:r>
            <w:proofErr w:type="spellEnd"/>
            <w:r w:rsidRPr="00432BEF">
              <w:rPr>
                <w:rFonts w:eastAsia="Times New Roman" w:cstheme="minorHAnsi"/>
                <w:bCs/>
                <w:sz w:val="18"/>
                <w:szCs w:val="18"/>
                <w:lang w:val="es-ES" w:eastAsia="zh-CN"/>
              </w:rPr>
              <w:t xml:space="preserve"> (Per cent)</w:t>
            </w:r>
          </w:p>
        </w:tc>
      </w:tr>
      <w:tr w:rsidR="0067409F" w:rsidRPr="00432BEF" w14:paraId="22D80EFF" w14:textId="77777777" w:rsidTr="00432BEF">
        <w:trPr>
          <w:cnfStyle w:val="000000100000" w:firstRow="0" w:lastRow="0" w:firstColumn="0" w:lastColumn="0" w:oddVBand="0" w:evenVBand="0" w:oddHBand="1" w:evenHBand="0" w:firstRowFirstColumn="0" w:firstRowLastColumn="0" w:lastRowFirstColumn="0" w:lastRowLastColumn="0"/>
          <w:trHeight w:val="257"/>
        </w:trPr>
        <w:tc>
          <w:tcPr>
            <w:tcW w:w="2802" w:type="dxa"/>
            <w:noWrap/>
            <w:hideMark/>
          </w:tcPr>
          <w:p w14:paraId="69E11EF6" w14:textId="77777777" w:rsidR="0067409F" w:rsidRPr="00432BEF" w:rsidRDefault="0067409F" w:rsidP="0067409F">
            <w:pPr>
              <w:rPr>
                <w:rFonts w:eastAsia="Times New Roman" w:cstheme="minorHAnsi"/>
                <w:color w:val="000000"/>
                <w:sz w:val="18"/>
                <w:szCs w:val="18"/>
                <w:lang w:val="es-ES" w:eastAsia="zh-CN"/>
              </w:rPr>
            </w:pPr>
            <w:proofErr w:type="spellStart"/>
            <w:r w:rsidRPr="00432BEF">
              <w:rPr>
                <w:rFonts w:eastAsia="Times New Roman" w:cstheme="minorHAnsi"/>
                <w:color w:val="000000"/>
                <w:sz w:val="18"/>
                <w:szCs w:val="18"/>
                <w:lang w:val="es-ES" w:eastAsia="zh-CN"/>
              </w:rPr>
              <w:t>Afghanistan</w:t>
            </w:r>
            <w:proofErr w:type="spellEnd"/>
          </w:p>
        </w:tc>
        <w:tc>
          <w:tcPr>
            <w:tcW w:w="2126" w:type="dxa"/>
            <w:noWrap/>
            <w:hideMark/>
          </w:tcPr>
          <w:p w14:paraId="7C6DB93A"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2.00%</w:t>
            </w:r>
          </w:p>
        </w:tc>
        <w:tc>
          <w:tcPr>
            <w:tcW w:w="1843" w:type="dxa"/>
            <w:noWrap/>
            <w:hideMark/>
          </w:tcPr>
          <w:p w14:paraId="1867DB9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8.98%</w:t>
            </w:r>
          </w:p>
        </w:tc>
        <w:tc>
          <w:tcPr>
            <w:tcW w:w="1670" w:type="dxa"/>
            <w:noWrap/>
            <w:hideMark/>
          </w:tcPr>
          <w:p w14:paraId="635ECF98"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147</w:t>
            </w:r>
          </w:p>
        </w:tc>
        <w:tc>
          <w:tcPr>
            <w:tcW w:w="1417" w:type="dxa"/>
            <w:noWrap/>
            <w:hideMark/>
          </w:tcPr>
          <w:p w14:paraId="474EE178"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142</w:t>
            </w:r>
          </w:p>
        </w:tc>
        <w:tc>
          <w:tcPr>
            <w:tcW w:w="1669" w:type="dxa"/>
            <w:noWrap/>
            <w:hideMark/>
          </w:tcPr>
          <w:p w14:paraId="382C9DF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w:t>
            </w:r>
          </w:p>
        </w:tc>
        <w:tc>
          <w:tcPr>
            <w:tcW w:w="1417" w:type="dxa"/>
            <w:noWrap/>
            <w:hideMark/>
          </w:tcPr>
          <w:p w14:paraId="22B52A15"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96.60%</w:t>
            </w:r>
          </w:p>
        </w:tc>
        <w:tc>
          <w:tcPr>
            <w:tcW w:w="1669" w:type="dxa"/>
            <w:noWrap/>
            <w:hideMark/>
          </w:tcPr>
          <w:p w14:paraId="1B1C2C3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3.40%</w:t>
            </w:r>
          </w:p>
        </w:tc>
      </w:tr>
      <w:tr w:rsidR="0067409F" w:rsidRPr="00432BEF" w14:paraId="04ECDE00" w14:textId="77777777" w:rsidTr="00432BEF">
        <w:trPr>
          <w:cnfStyle w:val="000000010000" w:firstRow="0" w:lastRow="0" w:firstColumn="0" w:lastColumn="0" w:oddVBand="0" w:evenVBand="0" w:oddHBand="0" w:evenHBand="1" w:firstRowFirstColumn="0" w:firstRowLastColumn="0" w:lastRowFirstColumn="0" w:lastRowLastColumn="0"/>
          <w:trHeight w:val="257"/>
        </w:trPr>
        <w:tc>
          <w:tcPr>
            <w:tcW w:w="2802" w:type="dxa"/>
            <w:noWrap/>
            <w:hideMark/>
          </w:tcPr>
          <w:p w14:paraId="55C41325"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Bangladesh</w:t>
            </w:r>
          </w:p>
        </w:tc>
        <w:tc>
          <w:tcPr>
            <w:tcW w:w="2126" w:type="dxa"/>
            <w:noWrap/>
            <w:hideMark/>
          </w:tcPr>
          <w:p w14:paraId="5E1F495B"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5.70%</w:t>
            </w:r>
          </w:p>
        </w:tc>
        <w:tc>
          <w:tcPr>
            <w:tcW w:w="1843" w:type="dxa"/>
            <w:noWrap/>
            <w:hideMark/>
          </w:tcPr>
          <w:p w14:paraId="714E1CD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6.71%</w:t>
            </w:r>
          </w:p>
        </w:tc>
        <w:tc>
          <w:tcPr>
            <w:tcW w:w="1670" w:type="dxa"/>
            <w:noWrap/>
            <w:hideMark/>
          </w:tcPr>
          <w:p w14:paraId="5CB677AB"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4,299</w:t>
            </w:r>
          </w:p>
        </w:tc>
        <w:tc>
          <w:tcPr>
            <w:tcW w:w="1417" w:type="dxa"/>
            <w:noWrap/>
            <w:hideMark/>
          </w:tcPr>
          <w:p w14:paraId="5F19C13F"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3,773</w:t>
            </w:r>
          </w:p>
        </w:tc>
        <w:tc>
          <w:tcPr>
            <w:tcW w:w="1669" w:type="dxa"/>
            <w:noWrap/>
            <w:hideMark/>
          </w:tcPr>
          <w:p w14:paraId="7A177DD4"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526</w:t>
            </w:r>
          </w:p>
        </w:tc>
        <w:tc>
          <w:tcPr>
            <w:tcW w:w="1417" w:type="dxa"/>
            <w:noWrap/>
            <w:hideMark/>
          </w:tcPr>
          <w:p w14:paraId="72431617"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87.76%</w:t>
            </w:r>
          </w:p>
        </w:tc>
        <w:tc>
          <w:tcPr>
            <w:tcW w:w="1669" w:type="dxa"/>
            <w:noWrap/>
            <w:hideMark/>
          </w:tcPr>
          <w:p w14:paraId="12B355BD"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12.24%</w:t>
            </w:r>
          </w:p>
        </w:tc>
      </w:tr>
      <w:tr w:rsidR="0067409F" w:rsidRPr="00432BEF" w14:paraId="3C0F4682" w14:textId="77777777" w:rsidTr="00432BEF">
        <w:trPr>
          <w:cnfStyle w:val="000000100000" w:firstRow="0" w:lastRow="0" w:firstColumn="0" w:lastColumn="0" w:oddVBand="0" w:evenVBand="0" w:oddHBand="1" w:evenHBand="0" w:firstRowFirstColumn="0" w:firstRowLastColumn="0" w:lastRowFirstColumn="0" w:lastRowLastColumn="0"/>
          <w:trHeight w:val="257"/>
        </w:trPr>
        <w:tc>
          <w:tcPr>
            <w:tcW w:w="2802" w:type="dxa"/>
            <w:noWrap/>
            <w:hideMark/>
          </w:tcPr>
          <w:p w14:paraId="0E0D4B2B"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 xml:space="preserve">Congo, </w:t>
            </w:r>
            <w:proofErr w:type="spellStart"/>
            <w:r w:rsidRPr="00432BEF">
              <w:rPr>
                <w:rFonts w:eastAsia="Times New Roman" w:cstheme="minorHAnsi"/>
                <w:color w:val="000000"/>
                <w:sz w:val="18"/>
                <w:szCs w:val="18"/>
                <w:lang w:val="es-ES" w:eastAsia="zh-CN"/>
              </w:rPr>
              <w:t>Democratic</w:t>
            </w:r>
            <w:proofErr w:type="spellEnd"/>
            <w:r w:rsidRPr="00432BEF">
              <w:rPr>
                <w:rFonts w:eastAsia="Times New Roman" w:cstheme="minorHAnsi"/>
                <w:color w:val="000000"/>
                <w:sz w:val="18"/>
                <w:szCs w:val="18"/>
                <w:lang w:val="es-ES" w:eastAsia="zh-CN"/>
              </w:rPr>
              <w:t xml:space="preserve"> </w:t>
            </w:r>
            <w:proofErr w:type="spellStart"/>
            <w:r w:rsidRPr="00432BEF">
              <w:rPr>
                <w:rFonts w:eastAsia="Times New Roman" w:cstheme="minorHAnsi"/>
                <w:color w:val="000000"/>
                <w:sz w:val="18"/>
                <w:szCs w:val="18"/>
                <w:lang w:val="es-ES" w:eastAsia="zh-CN"/>
              </w:rPr>
              <w:t>Republic</w:t>
            </w:r>
            <w:proofErr w:type="spellEnd"/>
            <w:r w:rsidRPr="00432BEF">
              <w:rPr>
                <w:rFonts w:eastAsia="Times New Roman" w:cstheme="minorHAnsi"/>
                <w:color w:val="000000"/>
                <w:sz w:val="18"/>
                <w:szCs w:val="18"/>
                <w:lang w:val="es-ES" w:eastAsia="zh-CN"/>
              </w:rPr>
              <w:t xml:space="preserve"> of</w:t>
            </w:r>
          </w:p>
        </w:tc>
        <w:tc>
          <w:tcPr>
            <w:tcW w:w="2126" w:type="dxa"/>
            <w:noWrap/>
            <w:hideMark/>
          </w:tcPr>
          <w:p w14:paraId="2F0967B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2.40%</w:t>
            </w:r>
          </w:p>
        </w:tc>
        <w:tc>
          <w:tcPr>
            <w:tcW w:w="1843" w:type="dxa"/>
            <w:noWrap/>
            <w:hideMark/>
          </w:tcPr>
          <w:p w14:paraId="16DBDE8D"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6.48%</w:t>
            </w:r>
          </w:p>
        </w:tc>
        <w:tc>
          <w:tcPr>
            <w:tcW w:w="1670" w:type="dxa"/>
            <w:noWrap/>
            <w:hideMark/>
          </w:tcPr>
          <w:p w14:paraId="0BF5744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605</w:t>
            </w:r>
          </w:p>
        </w:tc>
        <w:tc>
          <w:tcPr>
            <w:tcW w:w="1417" w:type="dxa"/>
            <w:noWrap/>
            <w:hideMark/>
          </w:tcPr>
          <w:p w14:paraId="6279C1D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585</w:t>
            </w:r>
          </w:p>
        </w:tc>
        <w:tc>
          <w:tcPr>
            <w:tcW w:w="1669" w:type="dxa"/>
            <w:noWrap/>
            <w:hideMark/>
          </w:tcPr>
          <w:p w14:paraId="740D77D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20</w:t>
            </w:r>
          </w:p>
        </w:tc>
        <w:tc>
          <w:tcPr>
            <w:tcW w:w="1417" w:type="dxa"/>
            <w:noWrap/>
            <w:hideMark/>
          </w:tcPr>
          <w:p w14:paraId="43BA87A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96.69%</w:t>
            </w:r>
          </w:p>
        </w:tc>
        <w:tc>
          <w:tcPr>
            <w:tcW w:w="1669" w:type="dxa"/>
            <w:noWrap/>
            <w:hideMark/>
          </w:tcPr>
          <w:p w14:paraId="65F3264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3.31%</w:t>
            </w:r>
          </w:p>
        </w:tc>
      </w:tr>
      <w:tr w:rsidR="0067409F" w:rsidRPr="00432BEF" w14:paraId="168F2E2D" w14:textId="77777777" w:rsidTr="00432BEF">
        <w:trPr>
          <w:cnfStyle w:val="000000010000" w:firstRow="0" w:lastRow="0" w:firstColumn="0" w:lastColumn="0" w:oddVBand="0" w:evenVBand="0" w:oddHBand="0" w:evenHBand="1" w:firstRowFirstColumn="0" w:firstRowLastColumn="0" w:lastRowFirstColumn="0" w:lastRowLastColumn="0"/>
          <w:trHeight w:val="257"/>
        </w:trPr>
        <w:tc>
          <w:tcPr>
            <w:tcW w:w="2802" w:type="dxa"/>
            <w:noWrap/>
            <w:hideMark/>
          </w:tcPr>
          <w:p w14:paraId="3110BA3A" w14:textId="77777777" w:rsidR="0067409F" w:rsidRPr="00432BEF" w:rsidRDefault="0067409F" w:rsidP="0067409F">
            <w:pPr>
              <w:rPr>
                <w:rFonts w:eastAsia="Times New Roman" w:cstheme="minorHAnsi"/>
                <w:color w:val="000000"/>
                <w:sz w:val="18"/>
                <w:szCs w:val="18"/>
                <w:lang w:val="es-ES" w:eastAsia="zh-CN"/>
              </w:rPr>
            </w:pPr>
            <w:proofErr w:type="spellStart"/>
            <w:r w:rsidRPr="00432BEF">
              <w:rPr>
                <w:rFonts w:eastAsia="Times New Roman" w:cstheme="minorHAnsi"/>
                <w:color w:val="000000"/>
                <w:sz w:val="18"/>
                <w:szCs w:val="18"/>
                <w:lang w:val="es-ES" w:eastAsia="zh-CN"/>
              </w:rPr>
              <w:t>Ethiopia</w:t>
            </w:r>
            <w:proofErr w:type="spellEnd"/>
          </w:p>
        </w:tc>
        <w:tc>
          <w:tcPr>
            <w:tcW w:w="2126" w:type="dxa"/>
            <w:noWrap/>
            <w:hideMark/>
          </w:tcPr>
          <w:p w14:paraId="69C5041B"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2.00%</w:t>
            </w:r>
          </w:p>
        </w:tc>
        <w:tc>
          <w:tcPr>
            <w:tcW w:w="1843" w:type="dxa"/>
            <w:noWrap/>
            <w:hideMark/>
          </w:tcPr>
          <w:p w14:paraId="463B732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7.72%</w:t>
            </w:r>
          </w:p>
        </w:tc>
        <w:tc>
          <w:tcPr>
            <w:tcW w:w="1670" w:type="dxa"/>
            <w:noWrap/>
            <w:hideMark/>
          </w:tcPr>
          <w:p w14:paraId="71BC5B0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881</w:t>
            </w:r>
          </w:p>
        </w:tc>
        <w:tc>
          <w:tcPr>
            <w:tcW w:w="1417" w:type="dxa"/>
            <w:noWrap/>
            <w:hideMark/>
          </w:tcPr>
          <w:p w14:paraId="61FC210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697</w:t>
            </w:r>
          </w:p>
        </w:tc>
        <w:tc>
          <w:tcPr>
            <w:tcW w:w="1669" w:type="dxa"/>
            <w:noWrap/>
            <w:hideMark/>
          </w:tcPr>
          <w:p w14:paraId="208C30DC"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184</w:t>
            </w:r>
          </w:p>
        </w:tc>
        <w:tc>
          <w:tcPr>
            <w:tcW w:w="1417" w:type="dxa"/>
            <w:noWrap/>
            <w:hideMark/>
          </w:tcPr>
          <w:p w14:paraId="3D3B328D"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79.11%</w:t>
            </w:r>
          </w:p>
        </w:tc>
        <w:tc>
          <w:tcPr>
            <w:tcW w:w="1669" w:type="dxa"/>
            <w:noWrap/>
            <w:hideMark/>
          </w:tcPr>
          <w:p w14:paraId="230F21C4"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20.89%</w:t>
            </w:r>
          </w:p>
        </w:tc>
      </w:tr>
      <w:tr w:rsidR="0067409F" w:rsidRPr="00432BEF" w14:paraId="52B46221" w14:textId="77777777" w:rsidTr="00432BEF">
        <w:trPr>
          <w:cnfStyle w:val="000000100000" w:firstRow="0" w:lastRow="0" w:firstColumn="0" w:lastColumn="0" w:oddVBand="0" w:evenVBand="0" w:oddHBand="1" w:evenHBand="0" w:firstRowFirstColumn="0" w:firstRowLastColumn="0" w:lastRowFirstColumn="0" w:lastRowLastColumn="0"/>
          <w:trHeight w:val="257"/>
        </w:trPr>
        <w:tc>
          <w:tcPr>
            <w:tcW w:w="2802" w:type="dxa"/>
            <w:noWrap/>
            <w:hideMark/>
          </w:tcPr>
          <w:p w14:paraId="0DEB4340"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Ghana</w:t>
            </w:r>
          </w:p>
        </w:tc>
        <w:tc>
          <w:tcPr>
            <w:tcW w:w="2126" w:type="dxa"/>
            <w:noWrap/>
            <w:hideMark/>
          </w:tcPr>
          <w:p w14:paraId="157FABF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3.40%</w:t>
            </w:r>
          </w:p>
        </w:tc>
        <w:tc>
          <w:tcPr>
            <w:tcW w:w="1843" w:type="dxa"/>
            <w:noWrap/>
            <w:hideMark/>
          </w:tcPr>
          <w:p w14:paraId="5DF5FC86"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5.87%</w:t>
            </w:r>
          </w:p>
        </w:tc>
        <w:tc>
          <w:tcPr>
            <w:tcW w:w="1670" w:type="dxa"/>
            <w:noWrap/>
            <w:hideMark/>
          </w:tcPr>
          <w:p w14:paraId="40E584EF"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375</w:t>
            </w:r>
          </w:p>
        </w:tc>
        <w:tc>
          <w:tcPr>
            <w:tcW w:w="1417" w:type="dxa"/>
            <w:noWrap/>
            <w:hideMark/>
          </w:tcPr>
          <w:p w14:paraId="4029A003"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364</w:t>
            </w:r>
          </w:p>
        </w:tc>
        <w:tc>
          <w:tcPr>
            <w:tcW w:w="1669" w:type="dxa"/>
            <w:noWrap/>
            <w:hideMark/>
          </w:tcPr>
          <w:p w14:paraId="17EC6F1B"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11</w:t>
            </w:r>
          </w:p>
        </w:tc>
        <w:tc>
          <w:tcPr>
            <w:tcW w:w="1417" w:type="dxa"/>
            <w:noWrap/>
            <w:hideMark/>
          </w:tcPr>
          <w:p w14:paraId="646F146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97.07%</w:t>
            </w:r>
          </w:p>
        </w:tc>
        <w:tc>
          <w:tcPr>
            <w:tcW w:w="1669" w:type="dxa"/>
            <w:noWrap/>
            <w:hideMark/>
          </w:tcPr>
          <w:p w14:paraId="146DC893"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2.93%</w:t>
            </w:r>
          </w:p>
        </w:tc>
      </w:tr>
      <w:tr w:rsidR="0067409F" w:rsidRPr="00432BEF" w14:paraId="40D1F7F1" w14:textId="77777777" w:rsidTr="00432BEF">
        <w:trPr>
          <w:cnfStyle w:val="000000010000" w:firstRow="0" w:lastRow="0" w:firstColumn="0" w:lastColumn="0" w:oddVBand="0" w:evenVBand="0" w:oddHBand="0" w:evenHBand="1" w:firstRowFirstColumn="0" w:firstRowLastColumn="0" w:lastRowFirstColumn="0" w:lastRowLastColumn="0"/>
          <w:trHeight w:val="257"/>
        </w:trPr>
        <w:tc>
          <w:tcPr>
            <w:tcW w:w="2802" w:type="dxa"/>
            <w:noWrap/>
            <w:hideMark/>
          </w:tcPr>
          <w:p w14:paraId="6D2564B3"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India</w:t>
            </w:r>
          </w:p>
        </w:tc>
        <w:tc>
          <w:tcPr>
            <w:tcW w:w="2126" w:type="dxa"/>
            <w:noWrap/>
            <w:hideMark/>
          </w:tcPr>
          <w:p w14:paraId="4E9529A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10.80%</w:t>
            </w:r>
          </w:p>
        </w:tc>
        <w:tc>
          <w:tcPr>
            <w:tcW w:w="1843" w:type="dxa"/>
            <w:noWrap/>
            <w:hideMark/>
          </w:tcPr>
          <w:p w14:paraId="4B6AD00B"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5.25%</w:t>
            </w:r>
          </w:p>
        </w:tc>
        <w:tc>
          <w:tcPr>
            <w:tcW w:w="1670" w:type="dxa"/>
            <w:noWrap/>
            <w:hideMark/>
          </w:tcPr>
          <w:p w14:paraId="5BBC059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50,950</w:t>
            </w:r>
          </w:p>
        </w:tc>
        <w:tc>
          <w:tcPr>
            <w:tcW w:w="1417" w:type="dxa"/>
            <w:noWrap/>
            <w:hideMark/>
          </w:tcPr>
          <w:p w14:paraId="572E882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44,262</w:t>
            </w:r>
          </w:p>
        </w:tc>
        <w:tc>
          <w:tcPr>
            <w:tcW w:w="1669" w:type="dxa"/>
            <w:noWrap/>
            <w:hideMark/>
          </w:tcPr>
          <w:p w14:paraId="2F294EE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6,688</w:t>
            </w:r>
          </w:p>
        </w:tc>
        <w:tc>
          <w:tcPr>
            <w:tcW w:w="1417" w:type="dxa"/>
            <w:noWrap/>
            <w:hideMark/>
          </w:tcPr>
          <w:p w14:paraId="5EC3CF0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86.87%</w:t>
            </w:r>
          </w:p>
        </w:tc>
        <w:tc>
          <w:tcPr>
            <w:tcW w:w="1669" w:type="dxa"/>
            <w:noWrap/>
            <w:hideMark/>
          </w:tcPr>
          <w:p w14:paraId="18E914DC"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13.13%</w:t>
            </w:r>
          </w:p>
        </w:tc>
      </w:tr>
      <w:tr w:rsidR="0067409F" w:rsidRPr="00432BEF" w14:paraId="0F545D92" w14:textId="77777777" w:rsidTr="00432BEF">
        <w:trPr>
          <w:cnfStyle w:val="000000100000" w:firstRow="0" w:lastRow="0" w:firstColumn="0" w:lastColumn="0" w:oddVBand="0" w:evenVBand="0" w:oddHBand="1" w:evenHBand="0" w:firstRowFirstColumn="0" w:firstRowLastColumn="0" w:lastRowFirstColumn="0" w:lastRowLastColumn="0"/>
          <w:trHeight w:val="257"/>
        </w:trPr>
        <w:tc>
          <w:tcPr>
            <w:tcW w:w="2802" w:type="dxa"/>
            <w:noWrap/>
            <w:hideMark/>
          </w:tcPr>
          <w:p w14:paraId="52219EFC" w14:textId="77777777" w:rsidR="0067409F" w:rsidRPr="00432BEF" w:rsidRDefault="0067409F" w:rsidP="0067409F">
            <w:pPr>
              <w:rPr>
                <w:rFonts w:eastAsia="Times New Roman" w:cstheme="minorHAnsi"/>
                <w:color w:val="000000"/>
                <w:sz w:val="18"/>
                <w:szCs w:val="18"/>
                <w:lang w:val="es-ES" w:eastAsia="zh-CN"/>
              </w:rPr>
            </w:pPr>
            <w:proofErr w:type="spellStart"/>
            <w:r w:rsidRPr="00432BEF">
              <w:rPr>
                <w:rFonts w:eastAsia="Times New Roman" w:cstheme="minorHAnsi"/>
                <w:color w:val="000000"/>
                <w:sz w:val="18"/>
                <w:szCs w:val="18"/>
                <w:lang w:val="es-ES" w:eastAsia="zh-CN"/>
              </w:rPr>
              <w:t>Kenya</w:t>
            </w:r>
            <w:proofErr w:type="spellEnd"/>
          </w:p>
        </w:tc>
        <w:tc>
          <w:tcPr>
            <w:tcW w:w="2126" w:type="dxa"/>
            <w:noWrap/>
            <w:hideMark/>
          </w:tcPr>
          <w:p w14:paraId="6EDCF97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2.90%</w:t>
            </w:r>
          </w:p>
        </w:tc>
        <w:tc>
          <w:tcPr>
            <w:tcW w:w="1843" w:type="dxa"/>
            <w:noWrap/>
            <w:hideMark/>
          </w:tcPr>
          <w:p w14:paraId="2E5C4FB6"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6.54%</w:t>
            </w:r>
          </w:p>
        </w:tc>
        <w:tc>
          <w:tcPr>
            <w:tcW w:w="1670" w:type="dxa"/>
            <w:noWrap/>
            <w:hideMark/>
          </w:tcPr>
          <w:p w14:paraId="266AB33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477</w:t>
            </w:r>
          </w:p>
        </w:tc>
        <w:tc>
          <w:tcPr>
            <w:tcW w:w="1417" w:type="dxa"/>
            <w:noWrap/>
            <w:hideMark/>
          </w:tcPr>
          <w:p w14:paraId="6669098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467</w:t>
            </w:r>
          </w:p>
        </w:tc>
        <w:tc>
          <w:tcPr>
            <w:tcW w:w="1669" w:type="dxa"/>
            <w:noWrap/>
            <w:hideMark/>
          </w:tcPr>
          <w:p w14:paraId="669EAE98"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10</w:t>
            </w:r>
          </w:p>
        </w:tc>
        <w:tc>
          <w:tcPr>
            <w:tcW w:w="1417" w:type="dxa"/>
            <w:noWrap/>
            <w:hideMark/>
          </w:tcPr>
          <w:p w14:paraId="709CEC6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97.90%</w:t>
            </w:r>
          </w:p>
        </w:tc>
        <w:tc>
          <w:tcPr>
            <w:tcW w:w="1669" w:type="dxa"/>
            <w:noWrap/>
            <w:hideMark/>
          </w:tcPr>
          <w:p w14:paraId="4F266743"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2.10%</w:t>
            </w:r>
          </w:p>
        </w:tc>
      </w:tr>
      <w:tr w:rsidR="0067409F" w:rsidRPr="00432BEF" w14:paraId="259FA96B" w14:textId="77777777" w:rsidTr="00432BEF">
        <w:trPr>
          <w:cnfStyle w:val="000000010000" w:firstRow="0" w:lastRow="0" w:firstColumn="0" w:lastColumn="0" w:oddVBand="0" w:evenVBand="0" w:oddHBand="0" w:evenHBand="1" w:firstRowFirstColumn="0" w:firstRowLastColumn="0" w:lastRowFirstColumn="0" w:lastRowLastColumn="0"/>
          <w:trHeight w:val="257"/>
        </w:trPr>
        <w:tc>
          <w:tcPr>
            <w:tcW w:w="2802" w:type="dxa"/>
            <w:noWrap/>
            <w:hideMark/>
          </w:tcPr>
          <w:p w14:paraId="3296508E" w14:textId="77777777" w:rsidR="0067409F" w:rsidRPr="00432BEF" w:rsidRDefault="0067409F" w:rsidP="0067409F">
            <w:pPr>
              <w:rPr>
                <w:rFonts w:eastAsia="Times New Roman" w:cstheme="minorHAnsi"/>
                <w:color w:val="000000"/>
                <w:sz w:val="18"/>
                <w:szCs w:val="18"/>
                <w:lang w:val="es-ES" w:eastAsia="zh-CN"/>
              </w:rPr>
            </w:pPr>
            <w:proofErr w:type="spellStart"/>
            <w:r w:rsidRPr="00432BEF">
              <w:rPr>
                <w:rFonts w:eastAsia="Times New Roman" w:cstheme="minorHAnsi"/>
                <w:color w:val="000000"/>
                <w:sz w:val="18"/>
                <w:szCs w:val="18"/>
                <w:lang w:val="es-ES" w:eastAsia="zh-CN"/>
              </w:rPr>
              <w:t>Kyrgyzstan</w:t>
            </w:r>
            <w:proofErr w:type="spellEnd"/>
          </w:p>
        </w:tc>
        <w:tc>
          <w:tcPr>
            <w:tcW w:w="2126" w:type="dxa"/>
            <w:noWrap/>
            <w:hideMark/>
          </w:tcPr>
          <w:p w14:paraId="4B9D18FF"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11.10%</w:t>
            </w:r>
          </w:p>
        </w:tc>
        <w:tc>
          <w:tcPr>
            <w:tcW w:w="1843" w:type="dxa"/>
            <w:noWrap/>
            <w:hideMark/>
          </w:tcPr>
          <w:p w14:paraId="64D4DE6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2.96%</w:t>
            </w:r>
          </w:p>
        </w:tc>
        <w:tc>
          <w:tcPr>
            <w:tcW w:w="1670" w:type="dxa"/>
            <w:noWrap/>
            <w:hideMark/>
          </w:tcPr>
          <w:p w14:paraId="5565FC1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270</w:t>
            </w:r>
          </w:p>
        </w:tc>
        <w:tc>
          <w:tcPr>
            <w:tcW w:w="1417" w:type="dxa"/>
            <w:noWrap/>
            <w:hideMark/>
          </w:tcPr>
          <w:p w14:paraId="448538A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258</w:t>
            </w:r>
          </w:p>
        </w:tc>
        <w:tc>
          <w:tcPr>
            <w:tcW w:w="1669" w:type="dxa"/>
            <w:noWrap/>
            <w:hideMark/>
          </w:tcPr>
          <w:p w14:paraId="45DA4165"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12</w:t>
            </w:r>
          </w:p>
        </w:tc>
        <w:tc>
          <w:tcPr>
            <w:tcW w:w="1417" w:type="dxa"/>
            <w:noWrap/>
            <w:hideMark/>
          </w:tcPr>
          <w:p w14:paraId="610B8F6A"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95.56%</w:t>
            </w:r>
          </w:p>
        </w:tc>
        <w:tc>
          <w:tcPr>
            <w:tcW w:w="1669" w:type="dxa"/>
            <w:noWrap/>
            <w:hideMark/>
          </w:tcPr>
          <w:p w14:paraId="1389B98A"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4.44%</w:t>
            </w:r>
          </w:p>
        </w:tc>
      </w:tr>
      <w:tr w:rsidR="0067409F" w:rsidRPr="00432BEF" w14:paraId="2DEEA8EA" w14:textId="77777777" w:rsidTr="00432BEF">
        <w:trPr>
          <w:cnfStyle w:val="000000100000" w:firstRow="0" w:lastRow="0" w:firstColumn="0" w:lastColumn="0" w:oddVBand="0" w:evenVBand="0" w:oddHBand="1" w:evenHBand="0" w:firstRowFirstColumn="0" w:firstRowLastColumn="0" w:lastRowFirstColumn="0" w:lastRowLastColumn="0"/>
          <w:trHeight w:val="257"/>
        </w:trPr>
        <w:tc>
          <w:tcPr>
            <w:tcW w:w="2802" w:type="dxa"/>
            <w:noWrap/>
            <w:hideMark/>
          </w:tcPr>
          <w:p w14:paraId="79332FE1"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Liberia</w:t>
            </w:r>
          </w:p>
        </w:tc>
        <w:tc>
          <w:tcPr>
            <w:tcW w:w="2126" w:type="dxa"/>
            <w:noWrap/>
            <w:hideMark/>
          </w:tcPr>
          <w:p w14:paraId="3BC0CBEA"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3.20%</w:t>
            </w:r>
          </w:p>
        </w:tc>
        <w:tc>
          <w:tcPr>
            <w:tcW w:w="1843" w:type="dxa"/>
            <w:noWrap/>
            <w:hideMark/>
          </w:tcPr>
          <w:p w14:paraId="6E5BAF8A"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7.50%</w:t>
            </w:r>
          </w:p>
        </w:tc>
        <w:tc>
          <w:tcPr>
            <w:tcW w:w="1670" w:type="dxa"/>
            <w:noWrap/>
            <w:hideMark/>
          </w:tcPr>
          <w:p w14:paraId="4E6A31AD"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48</w:t>
            </w:r>
          </w:p>
        </w:tc>
        <w:tc>
          <w:tcPr>
            <w:tcW w:w="1417" w:type="dxa"/>
            <w:noWrap/>
            <w:hideMark/>
          </w:tcPr>
          <w:p w14:paraId="5B008D17"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41</w:t>
            </w:r>
          </w:p>
        </w:tc>
        <w:tc>
          <w:tcPr>
            <w:tcW w:w="1669" w:type="dxa"/>
            <w:noWrap/>
            <w:hideMark/>
          </w:tcPr>
          <w:p w14:paraId="3F31A3F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7</w:t>
            </w:r>
          </w:p>
        </w:tc>
        <w:tc>
          <w:tcPr>
            <w:tcW w:w="1417" w:type="dxa"/>
            <w:noWrap/>
            <w:hideMark/>
          </w:tcPr>
          <w:p w14:paraId="6E6D0BA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85.42%</w:t>
            </w:r>
          </w:p>
        </w:tc>
        <w:tc>
          <w:tcPr>
            <w:tcW w:w="1669" w:type="dxa"/>
            <w:noWrap/>
            <w:hideMark/>
          </w:tcPr>
          <w:p w14:paraId="68660C3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14.58%</w:t>
            </w:r>
          </w:p>
        </w:tc>
      </w:tr>
      <w:tr w:rsidR="0067409F" w:rsidRPr="00432BEF" w14:paraId="0624A51A" w14:textId="77777777" w:rsidTr="00432BEF">
        <w:trPr>
          <w:cnfStyle w:val="000000010000" w:firstRow="0" w:lastRow="0" w:firstColumn="0" w:lastColumn="0" w:oddVBand="0" w:evenVBand="0" w:oddHBand="0" w:evenHBand="1" w:firstRowFirstColumn="0" w:firstRowLastColumn="0" w:lastRowFirstColumn="0" w:lastRowLastColumn="0"/>
          <w:trHeight w:val="257"/>
        </w:trPr>
        <w:tc>
          <w:tcPr>
            <w:tcW w:w="2802" w:type="dxa"/>
            <w:noWrap/>
            <w:hideMark/>
          </w:tcPr>
          <w:p w14:paraId="37D2EF2D"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Malawi</w:t>
            </w:r>
          </w:p>
        </w:tc>
        <w:tc>
          <w:tcPr>
            <w:tcW w:w="2126" w:type="dxa"/>
            <w:noWrap/>
            <w:hideMark/>
          </w:tcPr>
          <w:p w14:paraId="322E66D8"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1.70%</w:t>
            </w:r>
          </w:p>
        </w:tc>
        <w:tc>
          <w:tcPr>
            <w:tcW w:w="1843" w:type="dxa"/>
            <w:noWrap/>
            <w:hideMark/>
          </w:tcPr>
          <w:p w14:paraId="392C299C"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4.83%</w:t>
            </w:r>
          </w:p>
        </w:tc>
        <w:tc>
          <w:tcPr>
            <w:tcW w:w="1670" w:type="dxa"/>
            <w:noWrap/>
            <w:hideMark/>
          </w:tcPr>
          <w:p w14:paraId="6E4527E6"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120</w:t>
            </w:r>
          </w:p>
        </w:tc>
        <w:tc>
          <w:tcPr>
            <w:tcW w:w="1417" w:type="dxa"/>
            <w:noWrap/>
            <w:hideMark/>
          </w:tcPr>
          <w:p w14:paraId="6E18A7C6"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116</w:t>
            </w:r>
          </w:p>
        </w:tc>
        <w:tc>
          <w:tcPr>
            <w:tcW w:w="1669" w:type="dxa"/>
            <w:noWrap/>
            <w:hideMark/>
          </w:tcPr>
          <w:p w14:paraId="42E955A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w:t>
            </w:r>
          </w:p>
        </w:tc>
        <w:tc>
          <w:tcPr>
            <w:tcW w:w="1417" w:type="dxa"/>
            <w:noWrap/>
            <w:hideMark/>
          </w:tcPr>
          <w:p w14:paraId="0C8707B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96.67%</w:t>
            </w:r>
          </w:p>
        </w:tc>
        <w:tc>
          <w:tcPr>
            <w:tcW w:w="1669" w:type="dxa"/>
            <w:noWrap/>
            <w:hideMark/>
          </w:tcPr>
          <w:p w14:paraId="333EAAA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3.33%</w:t>
            </w:r>
          </w:p>
        </w:tc>
      </w:tr>
      <w:tr w:rsidR="0067409F" w:rsidRPr="00432BEF" w14:paraId="1C528E51" w14:textId="77777777" w:rsidTr="00432BEF">
        <w:trPr>
          <w:cnfStyle w:val="000000100000" w:firstRow="0" w:lastRow="0" w:firstColumn="0" w:lastColumn="0" w:oddVBand="0" w:evenVBand="0" w:oddHBand="1" w:evenHBand="0" w:firstRowFirstColumn="0" w:firstRowLastColumn="0" w:lastRowFirstColumn="0" w:lastRowLastColumn="0"/>
          <w:trHeight w:val="257"/>
        </w:trPr>
        <w:tc>
          <w:tcPr>
            <w:tcW w:w="2802" w:type="dxa"/>
            <w:noWrap/>
            <w:hideMark/>
          </w:tcPr>
          <w:p w14:paraId="46DE9C47"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Mozambique</w:t>
            </w:r>
          </w:p>
        </w:tc>
        <w:tc>
          <w:tcPr>
            <w:tcW w:w="2126" w:type="dxa"/>
            <w:noWrap/>
            <w:hideMark/>
          </w:tcPr>
          <w:p w14:paraId="651E34B8"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2.80%</w:t>
            </w:r>
          </w:p>
        </w:tc>
        <w:tc>
          <w:tcPr>
            <w:tcW w:w="1843" w:type="dxa"/>
            <w:noWrap/>
            <w:hideMark/>
          </w:tcPr>
          <w:p w14:paraId="52D96A6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7.49%</w:t>
            </w:r>
          </w:p>
        </w:tc>
        <w:tc>
          <w:tcPr>
            <w:tcW w:w="1670" w:type="dxa"/>
            <w:noWrap/>
            <w:hideMark/>
          </w:tcPr>
          <w:p w14:paraId="79D30EE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267</w:t>
            </w:r>
          </w:p>
        </w:tc>
        <w:tc>
          <w:tcPr>
            <w:tcW w:w="1417" w:type="dxa"/>
            <w:noWrap/>
            <w:hideMark/>
          </w:tcPr>
          <w:p w14:paraId="30EEF9C6"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262</w:t>
            </w:r>
          </w:p>
        </w:tc>
        <w:tc>
          <w:tcPr>
            <w:tcW w:w="1669" w:type="dxa"/>
            <w:noWrap/>
            <w:hideMark/>
          </w:tcPr>
          <w:p w14:paraId="5AF0FC9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w:t>
            </w:r>
          </w:p>
        </w:tc>
        <w:tc>
          <w:tcPr>
            <w:tcW w:w="1417" w:type="dxa"/>
            <w:noWrap/>
            <w:hideMark/>
          </w:tcPr>
          <w:p w14:paraId="6A16262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98.13%</w:t>
            </w:r>
          </w:p>
        </w:tc>
        <w:tc>
          <w:tcPr>
            <w:tcW w:w="1669" w:type="dxa"/>
            <w:noWrap/>
            <w:hideMark/>
          </w:tcPr>
          <w:p w14:paraId="6EC1CFEC"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1.87%</w:t>
            </w:r>
          </w:p>
        </w:tc>
      </w:tr>
      <w:tr w:rsidR="0067409F" w:rsidRPr="00432BEF" w14:paraId="7FC0A538" w14:textId="77777777" w:rsidTr="00432BEF">
        <w:trPr>
          <w:cnfStyle w:val="000000010000" w:firstRow="0" w:lastRow="0" w:firstColumn="0" w:lastColumn="0" w:oddVBand="0" w:evenVBand="0" w:oddHBand="0" w:evenHBand="1" w:firstRowFirstColumn="0" w:firstRowLastColumn="0" w:lastRowFirstColumn="0" w:lastRowLastColumn="0"/>
          <w:trHeight w:val="257"/>
        </w:trPr>
        <w:tc>
          <w:tcPr>
            <w:tcW w:w="2802" w:type="dxa"/>
            <w:noWrap/>
            <w:hideMark/>
          </w:tcPr>
          <w:p w14:paraId="262A7D63"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Myanmar</w:t>
            </w:r>
          </w:p>
        </w:tc>
        <w:tc>
          <w:tcPr>
            <w:tcW w:w="2126" w:type="dxa"/>
            <w:noWrap/>
            <w:hideMark/>
          </w:tcPr>
          <w:p w14:paraId="47190F23"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6.20%</w:t>
            </w:r>
          </w:p>
        </w:tc>
        <w:tc>
          <w:tcPr>
            <w:tcW w:w="1843" w:type="dxa"/>
            <w:noWrap/>
            <w:hideMark/>
          </w:tcPr>
          <w:p w14:paraId="2766993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6.97%</w:t>
            </w:r>
          </w:p>
        </w:tc>
        <w:tc>
          <w:tcPr>
            <w:tcW w:w="1670" w:type="dxa"/>
            <w:noWrap/>
            <w:hideMark/>
          </w:tcPr>
          <w:p w14:paraId="260FC0B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1,900</w:t>
            </w:r>
          </w:p>
        </w:tc>
        <w:tc>
          <w:tcPr>
            <w:tcW w:w="1417" w:type="dxa"/>
            <w:noWrap/>
            <w:hideMark/>
          </w:tcPr>
          <w:p w14:paraId="45613D77"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1,859</w:t>
            </w:r>
          </w:p>
        </w:tc>
        <w:tc>
          <w:tcPr>
            <w:tcW w:w="1669" w:type="dxa"/>
            <w:noWrap/>
            <w:hideMark/>
          </w:tcPr>
          <w:p w14:paraId="3E7FEA47"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41</w:t>
            </w:r>
          </w:p>
        </w:tc>
        <w:tc>
          <w:tcPr>
            <w:tcW w:w="1417" w:type="dxa"/>
            <w:noWrap/>
            <w:hideMark/>
          </w:tcPr>
          <w:p w14:paraId="4C4B7CC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97.84%</w:t>
            </w:r>
          </w:p>
        </w:tc>
        <w:tc>
          <w:tcPr>
            <w:tcW w:w="1669" w:type="dxa"/>
            <w:noWrap/>
            <w:hideMark/>
          </w:tcPr>
          <w:p w14:paraId="06FF007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2.16%</w:t>
            </w:r>
          </w:p>
        </w:tc>
      </w:tr>
      <w:tr w:rsidR="0067409F" w:rsidRPr="00432BEF" w14:paraId="00C2F38F" w14:textId="77777777" w:rsidTr="00432BEF">
        <w:trPr>
          <w:cnfStyle w:val="000000100000" w:firstRow="0" w:lastRow="0" w:firstColumn="0" w:lastColumn="0" w:oddVBand="0" w:evenVBand="0" w:oddHBand="1" w:evenHBand="0" w:firstRowFirstColumn="0" w:firstRowLastColumn="0" w:lastRowFirstColumn="0" w:lastRowLastColumn="0"/>
          <w:trHeight w:val="257"/>
        </w:trPr>
        <w:tc>
          <w:tcPr>
            <w:tcW w:w="2802" w:type="dxa"/>
            <w:noWrap/>
            <w:hideMark/>
          </w:tcPr>
          <w:p w14:paraId="1C8F6210"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Nepal</w:t>
            </w:r>
          </w:p>
        </w:tc>
        <w:tc>
          <w:tcPr>
            <w:tcW w:w="2126" w:type="dxa"/>
            <w:noWrap/>
            <w:hideMark/>
          </w:tcPr>
          <w:p w14:paraId="43B1B815"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3.70%</w:t>
            </w:r>
          </w:p>
        </w:tc>
        <w:tc>
          <w:tcPr>
            <w:tcW w:w="1843" w:type="dxa"/>
            <w:noWrap/>
            <w:hideMark/>
          </w:tcPr>
          <w:p w14:paraId="13EFE748"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6.14%</w:t>
            </w:r>
          </w:p>
        </w:tc>
        <w:tc>
          <w:tcPr>
            <w:tcW w:w="1670" w:type="dxa"/>
            <w:noWrap/>
            <w:hideMark/>
          </w:tcPr>
          <w:p w14:paraId="75886CFA"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560</w:t>
            </w:r>
          </w:p>
        </w:tc>
        <w:tc>
          <w:tcPr>
            <w:tcW w:w="1417" w:type="dxa"/>
            <w:noWrap/>
            <w:hideMark/>
          </w:tcPr>
          <w:p w14:paraId="0DC99907"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500</w:t>
            </w:r>
          </w:p>
        </w:tc>
        <w:tc>
          <w:tcPr>
            <w:tcW w:w="1669" w:type="dxa"/>
            <w:noWrap/>
            <w:hideMark/>
          </w:tcPr>
          <w:p w14:paraId="0A004BBB"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60</w:t>
            </w:r>
          </w:p>
        </w:tc>
        <w:tc>
          <w:tcPr>
            <w:tcW w:w="1417" w:type="dxa"/>
            <w:noWrap/>
            <w:hideMark/>
          </w:tcPr>
          <w:p w14:paraId="48660286"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89.29%</w:t>
            </w:r>
          </w:p>
        </w:tc>
        <w:tc>
          <w:tcPr>
            <w:tcW w:w="1669" w:type="dxa"/>
            <w:noWrap/>
            <w:hideMark/>
          </w:tcPr>
          <w:p w14:paraId="0C7BB45C"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10.71%</w:t>
            </w:r>
          </w:p>
        </w:tc>
      </w:tr>
      <w:tr w:rsidR="0067409F" w:rsidRPr="00432BEF" w14:paraId="4602465C" w14:textId="77777777" w:rsidTr="00432BEF">
        <w:trPr>
          <w:cnfStyle w:val="000000010000" w:firstRow="0" w:lastRow="0" w:firstColumn="0" w:lastColumn="0" w:oddVBand="0" w:evenVBand="0" w:oddHBand="0" w:evenHBand="1" w:firstRowFirstColumn="0" w:firstRowLastColumn="0" w:lastRowFirstColumn="0" w:lastRowLastColumn="0"/>
          <w:trHeight w:val="257"/>
        </w:trPr>
        <w:tc>
          <w:tcPr>
            <w:tcW w:w="2802" w:type="dxa"/>
            <w:noWrap/>
            <w:hideMark/>
          </w:tcPr>
          <w:p w14:paraId="52066906"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Nigeria</w:t>
            </w:r>
          </w:p>
        </w:tc>
        <w:tc>
          <w:tcPr>
            <w:tcW w:w="2126" w:type="dxa"/>
            <w:noWrap/>
            <w:hideMark/>
          </w:tcPr>
          <w:p w14:paraId="5AF7EE3C"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1.70%</w:t>
            </w:r>
          </w:p>
        </w:tc>
        <w:tc>
          <w:tcPr>
            <w:tcW w:w="1843" w:type="dxa"/>
            <w:noWrap/>
            <w:hideMark/>
          </w:tcPr>
          <w:p w14:paraId="747B5E0B"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5.27%</w:t>
            </w:r>
          </w:p>
        </w:tc>
        <w:tc>
          <w:tcPr>
            <w:tcW w:w="1670" w:type="dxa"/>
            <w:noWrap/>
            <w:hideMark/>
          </w:tcPr>
          <w:p w14:paraId="3BD3BB9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885</w:t>
            </w:r>
          </w:p>
        </w:tc>
        <w:tc>
          <w:tcPr>
            <w:tcW w:w="1417" w:type="dxa"/>
            <w:noWrap/>
            <w:hideMark/>
          </w:tcPr>
          <w:p w14:paraId="44CF6EFC"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839</w:t>
            </w:r>
          </w:p>
        </w:tc>
        <w:tc>
          <w:tcPr>
            <w:tcW w:w="1669" w:type="dxa"/>
            <w:noWrap/>
            <w:hideMark/>
          </w:tcPr>
          <w:p w14:paraId="64E1940F"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46</w:t>
            </w:r>
          </w:p>
        </w:tc>
        <w:tc>
          <w:tcPr>
            <w:tcW w:w="1417" w:type="dxa"/>
            <w:noWrap/>
            <w:hideMark/>
          </w:tcPr>
          <w:p w14:paraId="3CF9ED7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94.80%</w:t>
            </w:r>
          </w:p>
        </w:tc>
        <w:tc>
          <w:tcPr>
            <w:tcW w:w="1669" w:type="dxa"/>
            <w:noWrap/>
            <w:hideMark/>
          </w:tcPr>
          <w:p w14:paraId="5B18159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5.20%</w:t>
            </w:r>
          </w:p>
        </w:tc>
      </w:tr>
      <w:tr w:rsidR="0067409F" w:rsidRPr="00432BEF" w14:paraId="71964993" w14:textId="77777777" w:rsidTr="00432BEF">
        <w:trPr>
          <w:cnfStyle w:val="000000100000" w:firstRow="0" w:lastRow="0" w:firstColumn="0" w:lastColumn="0" w:oddVBand="0" w:evenVBand="0" w:oddHBand="1" w:evenHBand="0" w:firstRowFirstColumn="0" w:firstRowLastColumn="0" w:lastRowFirstColumn="0" w:lastRowLastColumn="0"/>
          <w:trHeight w:val="257"/>
        </w:trPr>
        <w:tc>
          <w:tcPr>
            <w:tcW w:w="2802" w:type="dxa"/>
            <w:noWrap/>
            <w:hideMark/>
          </w:tcPr>
          <w:p w14:paraId="605209D7" w14:textId="77777777" w:rsidR="0067409F" w:rsidRPr="00432BEF" w:rsidRDefault="0067409F" w:rsidP="0067409F">
            <w:pPr>
              <w:rPr>
                <w:rFonts w:eastAsia="Times New Roman" w:cstheme="minorHAnsi"/>
                <w:color w:val="000000"/>
                <w:sz w:val="18"/>
                <w:szCs w:val="18"/>
                <w:lang w:val="es-ES" w:eastAsia="zh-CN"/>
              </w:rPr>
            </w:pPr>
            <w:proofErr w:type="spellStart"/>
            <w:r w:rsidRPr="00432BEF">
              <w:rPr>
                <w:rFonts w:eastAsia="Times New Roman" w:cstheme="minorHAnsi"/>
                <w:color w:val="000000"/>
                <w:sz w:val="18"/>
                <w:szCs w:val="18"/>
                <w:lang w:val="es-ES" w:eastAsia="zh-CN"/>
              </w:rPr>
              <w:t>Pakistan</w:t>
            </w:r>
            <w:proofErr w:type="spellEnd"/>
          </w:p>
        </w:tc>
        <w:tc>
          <w:tcPr>
            <w:tcW w:w="2126" w:type="dxa"/>
            <w:noWrap/>
            <w:hideMark/>
          </w:tcPr>
          <w:p w14:paraId="465075D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7.30%</w:t>
            </w:r>
          </w:p>
        </w:tc>
        <w:tc>
          <w:tcPr>
            <w:tcW w:w="1843" w:type="dxa"/>
            <w:noWrap/>
            <w:hideMark/>
          </w:tcPr>
          <w:p w14:paraId="17C49E4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5.40%</w:t>
            </w:r>
          </w:p>
        </w:tc>
        <w:tc>
          <w:tcPr>
            <w:tcW w:w="1670" w:type="dxa"/>
            <w:noWrap/>
            <w:hideMark/>
          </w:tcPr>
          <w:p w14:paraId="6CF9E5D5"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4,633</w:t>
            </w:r>
          </w:p>
        </w:tc>
        <w:tc>
          <w:tcPr>
            <w:tcW w:w="1417" w:type="dxa"/>
            <w:noWrap/>
            <w:hideMark/>
          </w:tcPr>
          <w:p w14:paraId="49F311D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4,575</w:t>
            </w:r>
          </w:p>
        </w:tc>
        <w:tc>
          <w:tcPr>
            <w:tcW w:w="1669" w:type="dxa"/>
            <w:noWrap/>
            <w:hideMark/>
          </w:tcPr>
          <w:p w14:paraId="0D01444C"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58</w:t>
            </w:r>
          </w:p>
        </w:tc>
        <w:tc>
          <w:tcPr>
            <w:tcW w:w="1417" w:type="dxa"/>
            <w:noWrap/>
            <w:hideMark/>
          </w:tcPr>
          <w:p w14:paraId="04A5D88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98.75%</w:t>
            </w:r>
          </w:p>
        </w:tc>
        <w:tc>
          <w:tcPr>
            <w:tcW w:w="1669" w:type="dxa"/>
            <w:noWrap/>
            <w:hideMark/>
          </w:tcPr>
          <w:p w14:paraId="696F6583"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1.25%</w:t>
            </w:r>
          </w:p>
        </w:tc>
      </w:tr>
      <w:tr w:rsidR="0067409F" w:rsidRPr="00432BEF" w14:paraId="3E612223" w14:textId="77777777" w:rsidTr="00432BEF">
        <w:trPr>
          <w:cnfStyle w:val="000000010000" w:firstRow="0" w:lastRow="0" w:firstColumn="0" w:lastColumn="0" w:oddVBand="0" w:evenVBand="0" w:oddHBand="0" w:evenHBand="1" w:firstRowFirstColumn="0" w:firstRowLastColumn="0" w:lastRowFirstColumn="0" w:lastRowLastColumn="0"/>
          <w:trHeight w:val="257"/>
        </w:trPr>
        <w:tc>
          <w:tcPr>
            <w:tcW w:w="2802" w:type="dxa"/>
            <w:noWrap/>
            <w:hideMark/>
          </w:tcPr>
          <w:p w14:paraId="2D917754" w14:textId="77777777" w:rsidR="0067409F" w:rsidRPr="00432BEF" w:rsidRDefault="0067409F" w:rsidP="0067409F">
            <w:pPr>
              <w:rPr>
                <w:rFonts w:eastAsia="Times New Roman" w:cstheme="minorHAnsi"/>
                <w:color w:val="000000"/>
                <w:sz w:val="18"/>
                <w:szCs w:val="18"/>
                <w:lang w:val="es-ES" w:eastAsia="zh-CN"/>
              </w:rPr>
            </w:pPr>
            <w:proofErr w:type="spellStart"/>
            <w:r w:rsidRPr="00432BEF">
              <w:rPr>
                <w:rFonts w:eastAsia="Times New Roman" w:cstheme="minorHAnsi"/>
                <w:color w:val="000000"/>
                <w:sz w:val="18"/>
                <w:szCs w:val="18"/>
                <w:lang w:val="es-ES" w:eastAsia="zh-CN"/>
              </w:rPr>
              <w:t>Rwanda</w:t>
            </w:r>
            <w:proofErr w:type="spellEnd"/>
          </w:p>
        </w:tc>
        <w:tc>
          <w:tcPr>
            <w:tcW w:w="2126" w:type="dxa"/>
            <w:noWrap/>
            <w:hideMark/>
          </w:tcPr>
          <w:p w14:paraId="409B8CC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3.80%</w:t>
            </w:r>
          </w:p>
        </w:tc>
        <w:tc>
          <w:tcPr>
            <w:tcW w:w="1843" w:type="dxa"/>
            <w:noWrap/>
            <w:hideMark/>
          </w:tcPr>
          <w:p w14:paraId="2A74C87F"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6.55%</w:t>
            </w:r>
          </w:p>
        </w:tc>
        <w:tc>
          <w:tcPr>
            <w:tcW w:w="1670" w:type="dxa"/>
            <w:noWrap/>
            <w:hideMark/>
          </w:tcPr>
          <w:p w14:paraId="5D3C82E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226</w:t>
            </w:r>
          </w:p>
        </w:tc>
        <w:tc>
          <w:tcPr>
            <w:tcW w:w="1417" w:type="dxa"/>
            <w:noWrap/>
            <w:hideMark/>
          </w:tcPr>
          <w:p w14:paraId="7577D9A5"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208</w:t>
            </w:r>
          </w:p>
        </w:tc>
        <w:tc>
          <w:tcPr>
            <w:tcW w:w="1669" w:type="dxa"/>
            <w:noWrap/>
            <w:hideMark/>
          </w:tcPr>
          <w:p w14:paraId="11E5927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18</w:t>
            </w:r>
          </w:p>
        </w:tc>
        <w:tc>
          <w:tcPr>
            <w:tcW w:w="1417" w:type="dxa"/>
            <w:noWrap/>
            <w:hideMark/>
          </w:tcPr>
          <w:p w14:paraId="2F2FCA8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92.04%</w:t>
            </w:r>
          </w:p>
        </w:tc>
        <w:tc>
          <w:tcPr>
            <w:tcW w:w="1669" w:type="dxa"/>
            <w:noWrap/>
            <w:hideMark/>
          </w:tcPr>
          <w:p w14:paraId="577854FC"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7.96%</w:t>
            </w:r>
          </w:p>
        </w:tc>
      </w:tr>
      <w:tr w:rsidR="0067409F" w:rsidRPr="00432BEF" w14:paraId="3A7566D8" w14:textId="77777777" w:rsidTr="00432BEF">
        <w:trPr>
          <w:cnfStyle w:val="000000100000" w:firstRow="0" w:lastRow="0" w:firstColumn="0" w:lastColumn="0" w:oddVBand="0" w:evenVBand="0" w:oddHBand="1" w:evenHBand="0" w:firstRowFirstColumn="0" w:firstRowLastColumn="0" w:lastRowFirstColumn="0" w:lastRowLastColumn="0"/>
          <w:trHeight w:val="257"/>
        </w:trPr>
        <w:tc>
          <w:tcPr>
            <w:tcW w:w="2802" w:type="dxa"/>
            <w:noWrap/>
            <w:hideMark/>
          </w:tcPr>
          <w:p w14:paraId="2F676358"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Sierra Leone</w:t>
            </w:r>
          </w:p>
        </w:tc>
        <w:tc>
          <w:tcPr>
            <w:tcW w:w="2126" w:type="dxa"/>
            <w:noWrap/>
            <w:hideMark/>
          </w:tcPr>
          <w:p w14:paraId="2C5AFD83"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2.50%</w:t>
            </w:r>
          </w:p>
        </w:tc>
        <w:tc>
          <w:tcPr>
            <w:tcW w:w="1843" w:type="dxa"/>
            <w:noWrap/>
            <w:hideMark/>
          </w:tcPr>
          <w:p w14:paraId="39BC5C9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6.67%</w:t>
            </w:r>
          </w:p>
        </w:tc>
        <w:tc>
          <w:tcPr>
            <w:tcW w:w="1670" w:type="dxa"/>
            <w:noWrap/>
            <w:hideMark/>
          </w:tcPr>
          <w:p w14:paraId="0A37CF37"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60</w:t>
            </w:r>
          </w:p>
        </w:tc>
        <w:tc>
          <w:tcPr>
            <w:tcW w:w="1417" w:type="dxa"/>
            <w:noWrap/>
            <w:hideMark/>
          </w:tcPr>
          <w:p w14:paraId="1A152EB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47</w:t>
            </w:r>
          </w:p>
        </w:tc>
        <w:tc>
          <w:tcPr>
            <w:tcW w:w="1669" w:type="dxa"/>
            <w:noWrap/>
            <w:hideMark/>
          </w:tcPr>
          <w:p w14:paraId="39AE3C75"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13</w:t>
            </w:r>
          </w:p>
        </w:tc>
        <w:tc>
          <w:tcPr>
            <w:tcW w:w="1417" w:type="dxa"/>
            <w:noWrap/>
            <w:hideMark/>
          </w:tcPr>
          <w:p w14:paraId="6C5238C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78.33%</w:t>
            </w:r>
          </w:p>
        </w:tc>
        <w:tc>
          <w:tcPr>
            <w:tcW w:w="1669" w:type="dxa"/>
            <w:noWrap/>
            <w:hideMark/>
          </w:tcPr>
          <w:p w14:paraId="295845AA"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21.67%</w:t>
            </w:r>
          </w:p>
        </w:tc>
      </w:tr>
      <w:tr w:rsidR="0067409F" w:rsidRPr="00432BEF" w14:paraId="774041B8" w14:textId="77777777" w:rsidTr="00432BEF">
        <w:trPr>
          <w:cnfStyle w:val="000000010000" w:firstRow="0" w:lastRow="0" w:firstColumn="0" w:lastColumn="0" w:oddVBand="0" w:evenVBand="0" w:oddHBand="0" w:evenHBand="1" w:firstRowFirstColumn="0" w:firstRowLastColumn="0" w:lastRowFirstColumn="0" w:lastRowLastColumn="0"/>
          <w:trHeight w:val="257"/>
        </w:trPr>
        <w:tc>
          <w:tcPr>
            <w:tcW w:w="2802" w:type="dxa"/>
            <w:noWrap/>
            <w:hideMark/>
          </w:tcPr>
          <w:p w14:paraId="44F74F60"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 xml:space="preserve">South </w:t>
            </w:r>
            <w:proofErr w:type="spellStart"/>
            <w:r w:rsidRPr="00432BEF">
              <w:rPr>
                <w:rFonts w:eastAsia="Times New Roman" w:cstheme="minorHAnsi"/>
                <w:color w:val="000000"/>
                <w:sz w:val="18"/>
                <w:szCs w:val="18"/>
                <w:lang w:val="es-ES" w:eastAsia="zh-CN"/>
              </w:rPr>
              <w:t>Africa</w:t>
            </w:r>
            <w:proofErr w:type="spellEnd"/>
          </w:p>
        </w:tc>
        <w:tc>
          <w:tcPr>
            <w:tcW w:w="2126" w:type="dxa"/>
            <w:noWrap/>
            <w:hideMark/>
          </w:tcPr>
          <w:p w14:paraId="5EACE6B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6.40%</w:t>
            </w:r>
          </w:p>
        </w:tc>
        <w:tc>
          <w:tcPr>
            <w:tcW w:w="1843" w:type="dxa"/>
            <w:noWrap/>
            <w:hideMark/>
          </w:tcPr>
          <w:p w14:paraId="2A1C20AC"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1.44%</w:t>
            </w:r>
          </w:p>
        </w:tc>
        <w:tc>
          <w:tcPr>
            <w:tcW w:w="1670" w:type="dxa"/>
            <w:noWrap/>
            <w:hideMark/>
          </w:tcPr>
          <w:p w14:paraId="141E3BA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946</w:t>
            </w:r>
          </w:p>
        </w:tc>
        <w:tc>
          <w:tcPr>
            <w:tcW w:w="1417" w:type="dxa"/>
            <w:noWrap/>
            <w:hideMark/>
          </w:tcPr>
          <w:p w14:paraId="66E449D7"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838</w:t>
            </w:r>
          </w:p>
        </w:tc>
        <w:tc>
          <w:tcPr>
            <w:tcW w:w="1669" w:type="dxa"/>
            <w:noWrap/>
            <w:hideMark/>
          </w:tcPr>
          <w:p w14:paraId="5EF1AFD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109</w:t>
            </w:r>
          </w:p>
        </w:tc>
        <w:tc>
          <w:tcPr>
            <w:tcW w:w="1417" w:type="dxa"/>
            <w:noWrap/>
            <w:hideMark/>
          </w:tcPr>
          <w:p w14:paraId="78F2E8A6"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88.58%</w:t>
            </w:r>
          </w:p>
        </w:tc>
        <w:tc>
          <w:tcPr>
            <w:tcW w:w="1669" w:type="dxa"/>
            <w:noWrap/>
            <w:hideMark/>
          </w:tcPr>
          <w:p w14:paraId="19D40E96"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11.52%</w:t>
            </w:r>
          </w:p>
        </w:tc>
      </w:tr>
      <w:tr w:rsidR="0067409F" w:rsidRPr="00432BEF" w14:paraId="75D58EA9" w14:textId="77777777" w:rsidTr="00432BEF">
        <w:trPr>
          <w:cnfStyle w:val="000000100000" w:firstRow="0" w:lastRow="0" w:firstColumn="0" w:lastColumn="0" w:oddVBand="0" w:evenVBand="0" w:oddHBand="1" w:evenHBand="0" w:firstRowFirstColumn="0" w:firstRowLastColumn="0" w:lastRowFirstColumn="0" w:lastRowLastColumn="0"/>
          <w:trHeight w:val="257"/>
        </w:trPr>
        <w:tc>
          <w:tcPr>
            <w:tcW w:w="2802" w:type="dxa"/>
            <w:noWrap/>
            <w:hideMark/>
          </w:tcPr>
          <w:p w14:paraId="772616A4"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Sudan</w:t>
            </w:r>
          </w:p>
        </w:tc>
        <w:tc>
          <w:tcPr>
            <w:tcW w:w="2126" w:type="dxa"/>
            <w:noWrap/>
            <w:hideMark/>
          </w:tcPr>
          <w:p w14:paraId="0B3F99E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5.20%</w:t>
            </w:r>
          </w:p>
        </w:tc>
        <w:tc>
          <w:tcPr>
            <w:tcW w:w="1843" w:type="dxa"/>
            <w:noWrap/>
            <w:hideMark/>
          </w:tcPr>
          <w:p w14:paraId="21FEE97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5.71%</w:t>
            </w:r>
          </w:p>
        </w:tc>
        <w:tc>
          <w:tcPr>
            <w:tcW w:w="1670" w:type="dxa"/>
            <w:noWrap/>
            <w:hideMark/>
          </w:tcPr>
          <w:p w14:paraId="4B4E36F8"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546</w:t>
            </w:r>
          </w:p>
        </w:tc>
        <w:tc>
          <w:tcPr>
            <w:tcW w:w="1417" w:type="dxa"/>
            <w:noWrap/>
            <w:hideMark/>
          </w:tcPr>
          <w:p w14:paraId="129F944D"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543</w:t>
            </w:r>
          </w:p>
        </w:tc>
        <w:tc>
          <w:tcPr>
            <w:tcW w:w="1669" w:type="dxa"/>
            <w:noWrap/>
            <w:hideMark/>
          </w:tcPr>
          <w:p w14:paraId="0F08F70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w:t>
            </w:r>
          </w:p>
        </w:tc>
        <w:tc>
          <w:tcPr>
            <w:tcW w:w="1417" w:type="dxa"/>
            <w:noWrap/>
            <w:hideMark/>
          </w:tcPr>
          <w:p w14:paraId="65F9DC6C"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99.45%</w:t>
            </w:r>
          </w:p>
        </w:tc>
        <w:tc>
          <w:tcPr>
            <w:tcW w:w="1669" w:type="dxa"/>
            <w:noWrap/>
            <w:hideMark/>
          </w:tcPr>
          <w:p w14:paraId="3D8A185D"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0.55%</w:t>
            </w:r>
          </w:p>
        </w:tc>
      </w:tr>
      <w:tr w:rsidR="0067409F" w:rsidRPr="00432BEF" w14:paraId="459A9A86" w14:textId="77777777" w:rsidTr="00432BEF">
        <w:trPr>
          <w:cnfStyle w:val="000000010000" w:firstRow="0" w:lastRow="0" w:firstColumn="0" w:lastColumn="0" w:oddVBand="0" w:evenVBand="0" w:oddHBand="0" w:evenHBand="1" w:firstRowFirstColumn="0" w:firstRowLastColumn="0" w:lastRowFirstColumn="0" w:lastRowLastColumn="0"/>
          <w:trHeight w:val="257"/>
        </w:trPr>
        <w:tc>
          <w:tcPr>
            <w:tcW w:w="2802" w:type="dxa"/>
            <w:noWrap/>
            <w:hideMark/>
          </w:tcPr>
          <w:p w14:paraId="1CCED24C" w14:textId="77777777" w:rsidR="0067409F" w:rsidRPr="00432BEF" w:rsidRDefault="0067409F" w:rsidP="0067409F">
            <w:pPr>
              <w:rPr>
                <w:rFonts w:eastAsia="Times New Roman" w:cstheme="minorHAnsi"/>
                <w:color w:val="000000"/>
                <w:sz w:val="18"/>
                <w:szCs w:val="18"/>
                <w:lang w:val="es-ES" w:eastAsia="zh-CN"/>
              </w:rPr>
            </w:pPr>
            <w:proofErr w:type="spellStart"/>
            <w:r w:rsidRPr="00432BEF">
              <w:rPr>
                <w:rFonts w:eastAsia="Times New Roman" w:cstheme="minorHAnsi"/>
                <w:color w:val="000000"/>
                <w:sz w:val="18"/>
                <w:szCs w:val="18"/>
                <w:lang w:val="es-ES" w:eastAsia="zh-CN"/>
              </w:rPr>
              <w:t>Tajikistan</w:t>
            </w:r>
            <w:proofErr w:type="spellEnd"/>
          </w:p>
        </w:tc>
        <w:tc>
          <w:tcPr>
            <w:tcW w:w="2126" w:type="dxa"/>
            <w:noWrap/>
            <w:hideMark/>
          </w:tcPr>
          <w:p w14:paraId="45666C7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7.60%</w:t>
            </w:r>
          </w:p>
        </w:tc>
        <w:tc>
          <w:tcPr>
            <w:tcW w:w="1843" w:type="dxa"/>
            <w:noWrap/>
            <w:hideMark/>
          </w:tcPr>
          <w:p w14:paraId="055C4703"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4.24%</w:t>
            </w:r>
          </w:p>
        </w:tc>
        <w:tc>
          <w:tcPr>
            <w:tcW w:w="1670" w:type="dxa"/>
            <w:noWrap/>
            <w:hideMark/>
          </w:tcPr>
          <w:p w14:paraId="401CE487"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250</w:t>
            </w:r>
          </w:p>
        </w:tc>
        <w:tc>
          <w:tcPr>
            <w:tcW w:w="1417" w:type="dxa"/>
            <w:noWrap/>
            <w:hideMark/>
          </w:tcPr>
          <w:p w14:paraId="2F77EFDA"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243</w:t>
            </w:r>
          </w:p>
        </w:tc>
        <w:tc>
          <w:tcPr>
            <w:tcW w:w="1669" w:type="dxa"/>
            <w:noWrap/>
            <w:hideMark/>
          </w:tcPr>
          <w:p w14:paraId="27394BBF"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7</w:t>
            </w:r>
          </w:p>
        </w:tc>
        <w:tc>
          <w:tcPr>
            <w:tcW w:w="1417" w:type="dxa"/>
            <w:noWrap/>
            <w:hideMark/>
          </w:tcPr>
          <w:p w14:paraId="5C1BB826"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97.20%</w:t>
            </w:r>
          </w:p>
        </w:tc>
        <w:tc>
          <w:tcPr>
            <w:tcW w:w="1669" w:type="dxa"/>
            <w:noWrap/>
            <w:hideMark/>
          </w:tcPr>
          <w:p w14:paraId="2E747ADF"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2.80%</w:t>
            </w:r>
          </w:p>
        </w:tc>
      </w:tr>
      <w:tr w:rsidR="0067409F" w:rsidRPr="00432BEF" w14:paraId="7A1B906A" w14:textId="77777777" w:rsidTr="00432BEF">
        <w:trPr>
          <w:cnfStyle w:val="000000100000" w:firstRow="0" w:lastRow="0" w:firstColumn="0" w:lastColumn="0" w:oddVBand="0" w:evenVBand="0" w:oddHBand="1" w:evenHBand="0" w:firstRowFirstColumn="0" w:firstRowLastColumn="0" w:lastRowFirstColumn="0" w:lastRowLastColumn="0"/>
          <w:trHeight w:val="257"/>
        </w:trPr>
        <w:tc>
          <w:tcPr>
            <w:tcW w:w="2802" w:type="dxa"/>
            <w:noWrap/>
            <w:hideMark/>
          </w:tcPr>
          <w:p w14:paraId="5726D487"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 xml:space="preserve">Tanzania, </w:t>
            </w:r>
            <w:proofErr w:type="spellStart"/>
            <w:r w:rsidRPr="00432BEF">
              <w:rPr>
                <w:rFonts w:eastAsia="Times New Roman" w:cstheme="minorHAnsi"/>
                <w:color w:val="000000"/>
                <w:sz w:val="18"/>
                <w:szCs w:val="18"/>
                <w:lang w:val="es-ES" w:eastAsia="zh-CN"/>
              </w:rPr>
              <w:t>United</w:t>
            </w:r>
            <w:proofErr w:type="spellEnd"/>
            <w:r w:rsidRPr="00432BEF">
              <w:rPr>
                <w:rFonts w:eastAsia="Times New Roman" w:cstheme="minorHAnsi"/>
                <w:color w:val="000000"/>
                <w:sz w:val="18"/>
                <w:szCs w:val="18"/>
                <w:lang w:val="es-ES" w:eastAsia="zh-CN"/>
              </w:rPr>
              <w:t xml:space="preserve"> </w:t>
            </w:r>
            <w:proofErr w:type="spellStart"/>
            <w:r w:rsidRPr="00432BEF">
              <w:rPr>
                <w:rFonts w:eastAsia="Times New Roman" w:cstheme="minorHAnsi"/>
                <w:color w:val="000000"/>
                <w:sz w:val="18"/>
                <w:szCs w:val="18"/>
                <w:lang w:val="es-ES" w:eastAsia="zh-CN"/>
              </w:rPr>
              <w:t>Republic</w:t>
            </w:r>
            <w:proofErr w:type="spellEnd"/>
            <w:r w:rsidRPr="00432BEF">
              <w:rPr>
                <w:rFonts w:eastAsia="Times New Roman" w:cstheme="minorHAnsi"/>
                <w:color w:val="000000"/>
                <w:sz w:val="18"/>
                <w:szCs w:val="18"/>
                <w:lang w:val="es-ES" w:eastAsia="zh-CN"/>
              </w:rPr>
              <w:t xml:space="preserve"> of</w:t>
            </w:r>
          </w:p>
        </w:tc>
        <w:tc>
          <w:tcPr>
            <w:tcW w:w="2126" w:type="dxa"/>
            <w:noWrap/>
            <w:hideMark/>
          </w:tcPr>
          <w:p w14:paraId="07B434AF"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1.40%</w:t>
            </w:r>
          </w:p>
        </w:tc>
        <w:tc>
          <w:tcPr>
            <w:tcW w:w="1843" w:type="dxa"/>
            <w:noWrap/>
            <w:hideMark/>
          </w:tcPr>
          <w:p w14:paraId="2755D7CC"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5.84%</w:t>
            </w:r>
          </w:p>
        </w:tc>
        <w:tc>
          <w:tcPr>
            <w:tcW w:w="1670" w:type="dxa"/>
            <w:noWrap/>
            <w:hideMark/>
          </w:tcPr>
          <w:p w14:paraId="234465C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346</w:t>
            </w:r>
          </w:p>
        </w:tc>
        <w:tc>
          <w:tcPr>
            <w:tcW w:w="1417" w:type="dxa"/>
            <w:noWrap/>
            <w:hideMark/>
          </w:tcPr>
          <w:p w14:paraId="1200833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333</w:t>
            </w:r>
          </w:p>
        </w:tc>
        <w:tc>
          <w:tcPr>
            <w:tcW w:w="1669" w:type="dxa"/>
            <w:noWrap/>
            <w:hideMark/>
          </w:tcPr>
          <w:p w14:paraId="38B7AB1B"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13</w:t>
            </w:r>
          </w:p>
        </w:tc>
        <w:tc>
          <w:tcPr>
            <w:tcW w:w="1417" w:type="dxa"/>
            <w:noWrap/>
            <w:hideMark/>
          </w:tcPr>
          <w:p w14:paraId="792BEC84"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96.24%</w:t>
            </w:r>
          </w:p>
        </w:tc>
        <w:tc>
          <w:tcPr>
            <w:tcW w:w="1669" w:type="dxa"/>
            <w:noWrap/>
            <w:hideMark/>
          </w:tcPr>
          <w:p w14:paraId="251D8F9F"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3.76%</w:t>
            </w:r>
          </w:p>
        </w:tc>
      </w:tr>
      <w:tr w:rsidR="0067409F" w:rsidRPr="00432BEF" w14:paraId="2DC00308" w14:textId="77777777" w:rsidTr="00432BEF">
        <w:trPr>
          <w:cnfStyle w:val="000000010000" w:firstRow="0" w:lastRow="0" w:firstColumn="0" w:lastColumn="0" w:oddVBand="0" w:evenVBand="0" w:oddHBand="0" w:evenHBand="1" w:firstRowFirstColumn="0" w:firstRowLastColumn="0" w:lastRowFirstColumn="0" w:lastRowLastColumn="0"/>
          <w:trHeight w:val="257"/>
        </w:trPr>
        <w:tc>
          <w:tcPr>
            <w:tcW w:w="2802" w:type="dxa"/>
            <w:noWrap/>
            <w:hideMark/>
          </w:tcPr>
          <w:p w14:paraId="0E80218E"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Uganda</w:t>
            </w:r>
          </w:p>
        </w:tc>
        <w:tc>
          <w:tcPr>
            <w:tcW w:w="2126" w:type="dxa"/>
            <w:noWrap/>
            <w:hideMark/>
          </w:tcPr>
          <w:p w14:paraId="6493FF8D"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1.90%</w:t>
            </w:r>
          </w:p>
        </w:tc>
        <w:tc>
          <w:tcPr>
            <w:tcW w:w="1843" w:type="dxa"/>
            <w:noWrap/>
            <w:hideMark/>
          </w:tcPr>
          <w:p w14:paraId="1CBFC28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9.89%</w:t>
            </w:r>
          </w:p>
        </w:tc>
        <w:tc>
          <w:tcPr>
            <w:tcW w:w="1670" w:type="dxa"/>
            <w:noWrap/>
            <w:hideMark/>
          </w:tcPr>
          <w:p w14:paraId="03977E8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281</w:t>
            </w:r>
          </w:p>
        </w:tc>
        <w:tc>
          <w:tcPr>
            <w:tcW w:w="1417" w:type="dxa"/>
            <w:noWrap/>
            <w:hideMark/>
          </w:tcPr>
          <w:p w14:paraId="65DCE83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273</w:t>
            </w:r>
          </w:p>
        </w:tc>
        <w:tc>
          <w:tcPr>
            <w:tcW w:w="1669" w:type="dxa"/>
            <w:noWrap/>
            <w:hideMark/>
          </w:tcPr>
          <w:p w14:paraId="66C464A8"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8</w:t>
            </w:r>
          </w:p>
        </w:tc>
        <w:tc>
          <w:tcPr>
            <w:tcW w:w="1417" w:type="dxa"/>
            <w:noWrap/>
            <w:hideMark/>
          </w:tcPr>
          <w:p w14:paraId="17567E77"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97.15%</w:t>
            </w:r>
          </w:p>
        </w:tc>
        <w:tc>
          <w:tcPr>
            <w:tcW w:w="1669" w:type="dxa"/>
            <w:noWrap/>
            <w:hideMark/>
          </w:tcPr>
          <w:p w14:paraId="6C3E514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2.85%</w:t>
            </w:r>
          </w:p>
        </w:tc>
      </w:tr>
      <w:tr w:rsidR="0067409F" w:rsidRPr="00432BEF" w14:paraId="02977732" w14:textId="77777777" w:rsidTr="00432BEF">
        <w:trPr>
          <w:cnfStyle w:val="000000100000" w:firstRow="0" w:lastRow="0" w:firstColumn="0" w:lastColumn="0" w:oddVBand="0" w:evenVBand="0" w:oddHBand="1" w:evenHBand="0" w:firstRowFirstColumn="0" w:firstRowLastColumn="0" w:lastRowFirstColumn="0" w:lastRowLastColumn="0"/>
          <w:trHeight w:val="257"/>
        </w:trPr>
        <w:tc>
          <w:tcPr>
            <w:tcW w:w="2802" w:type="dxa"/>
            <w:noWrap/>
            <w:hideMark/>
          </w:tcPr>
          <w:p w14:paraId="3A410A45" w14:textId="77777777" w:rsidR="0067409F" w:rsidRPr="00432BEF" w:rsidRDefault="0067409F" w:rsidP="0067409F">
            <w:pPr>
              <w:rPr>
                <w:rFonts w:eastAsia="Times New Roman" w:cstheme="minorHAnsi"/>
                <w:color w:val="000000"/>
                <w:sz w:val="18"/>
                <w:szCs w:val="18"/>
                <w:lang w:eastAsia="zh-CN"/>
              </w:rPr>
            </w:pPr>
            <w:r w:rsidRPr="00432BEF">
              <w:rPr>
                <w:rFonts w:eastAsia="Times New Roman" w:cstheme="minorHAnsi"/>
                <w:color w:val="000000"/>
                <w:sz w:val="18"/>
                <w:szCs w:val="18"/>
                <w:lang w:eastAsia="zh-CN"/>
              </w:rPr>
              <w:t>West Bank and Gaza Strip</w:t>
            </w:r>
          </w:p>
        </w:tc>
        <w:tc>
          <w:tcPr>
            <w:tcW w:w="2126" w:type="dxa"/>
            <w:noWrap/>
            <w:hideMark/>
          </w:tcPr>
          <w:p w14:paraId="6C33D407"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15.90%</w:t>
            </w:r>
          </w:p>
        </w:tc>
        <w:tc>
          <w:tcPr>
            <w:tcW w:w="1843" w:type="dxa"/>
            <w:noWrap/>
            <w:hideMark/>
          </w:tcPr>
          <w:p w14:paraId="1B59FE04"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6.46%</w:t>
            </w:r>
          </w:p>
        </w:tc>
        <w:tc>
          <w:tcPr>
            <w:tcW w:w="1670" w:type="dxa"/>
            <w:noWrap/>
            <w:hideMark/>
          </w:tcPr>
          <w:p w14:paraId="6672A177"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130</w:t>
            </w:r>
          </w:p>
        </w:tc>
        <w:tc>
          <w:tcPr>
            <w:tcW w:w="1417" w:type="dxa"/>
            <w:noWrap/>
            <w:hideMark/>
          </w:tcPr>
          <w:p w14:paraId="56A92D0B"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130</w:t>
            </w:r>
          </w:p>
        </w:tc>
        <w:tc>
          <w:tcPr>
            <w:tcW w:w="1669" w:type="dxa"/>
            <w:noWrap/>
            <w:hideMark/>
          </w:tcPr>
          <w:p w14:paraId="3331DE88"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0</w:t>
            </w:r>
          </w:p>
        </w:tc>
        <w:tc>
          <w:tcPr>
            <w:tcW w:w="1417" w:type="dxa"/>
            <w:noWrap/>
            <w:hideMark/>
          </w:tcPr>
          <w:p w14:paraId="1B32D196"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100.00%</w:t>
            </w:r>
          </w:p>
        </w:tc>
        <w:tc>
          <w:tcPr>
            <w:tcW w:w="1669" w:type="dxa"/>
            <w:noWrap/>
            <w:hideMark/>
          </w:tcPr>
          <w:p w14:paraId="079F3A97"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0.00%</w:t>
            </w:r>
          </w:p>
        </w:tc>
      </w:tr>
      <w:tr w:rsidR="0067409F" w:rsidRPr="00432BEF" w14:paraId="5D9FAF39" w14:textId="77777777" w:rsidTr="00432BEF">
        <w:trPr>
          <w:cnfStyle w:val="000000010000" w:firstRow="0" w:lastRow="0" w:firstColumn="0" w:lastColumn="0" w:oddVBand="0" w:evenVBand="0" w:oddHBand="0" w:evenHBand="1" w:firstRowFirstColumn="0" w:firstRowLastColumn="0" w:lastRowFirstColumn="0" w:lastRowLastColumn="0"/>
          <w:trHeight w:val="257"/>
        </w:trPr>
        <w:tc>
          <w:tcPr>
            <w:tcW w:w="2802" w:type="dxa"/>
            <w:noWrap/>
            <w:hideMark/>
          </w:tcPr>
          <w:p w14:paraId="07C45F75"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Yemen</w:t>
            </w:r>
          </w:p>
        </w:tc>
        <w:tc>
          <w:tcPr>
            <w:tcW w:w="2126" w:type="dxa"/>
            <w:noWrap/>
            <w:hideMark/>
          </w:tcPr>
          <w:p w14:paraId="138EB804"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9.80%</w:t>
            </w:r>
          </w:p>
        </w:tc>
        <w:tc>
          <w:tcPr>
            <w:tcW w:w="1843" w:type="dxa"/>
            <w:noWrap/>
            <w:hideMark/>
          </w:tcPr>
          <w:p w14:paraId="653637E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7.38%</w:t>
            </w:r>
          </w:p>
        </w:tc>
        <w:tc>
          <w:tcPr>
            <w:tcW w:w="1670" w:type="dxa"/>
            <w:noWrap/>
            <w:hideMark/>
          </w:tcPr>
          <w:p w14:paraId="6C0A737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597</w:t>
            </w:r>
          </w:p>
        </w:tc>
        <w:tc>
          <w:tcPr>
            <w:tcW w:w="1417" w:type="dxa"/>
            <w:noWrap/>
            <w:hideMark/>
          </w:tcPr>
          <w:p w14:paraId="67FB76C9"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593</w:t>
            </w:r>
          </w:p>
        </w:tc>
        <w:tc>
          <w:tcPr>
            <w:tcW w:w="1669" w:type="dxa"/>
            <w:noWrap/>
            <w:hideMark/>
          </w:tcPr>
          <w:p w14:paraId="3508FAD3"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w:t>
            </w:r>
          </w:p>
        </w:tc>
        <w:tc>
          <w:tcPr>
            <w:tcW w:w="1417" w:type="dxa"/>
            <w:noWrap/>
            <w:hideMark/>
          </w:tcPr>
          <w:p w14:paraId="348B4985"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99.33%</w:t>
            </w:r>
          </w:p>
        </w:tc>
        <w:tc>
          <w:tcPr>
            <w:tcW w:w="1669" w:type="dxa"/>
            <w:noWrap/>
            <w:hideMark/>
          </w:tcPr>
          <w:p w14:paraId="5E903720"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0.50%</w:t>
            </w:r>
          </w:p>
        </w:tc>
      </w:tr>
      <w:tr w:rsidR="0067409F" w:rsidRPr="00432BEF" w14:paraId="01DA9050" w14:textId="77777777" w:rsidTr="00432BEF">
        <w:trPr>
          <w:cnfStyle w:val="000000100000" w:firstRow="0" w:lastRow="0" w:firstColumn="0" w:lastColumn="0" w:oddVBand="0" w:evenVBand="0" w:oddHBand="1" w:evenHBand="0" w:firstRowFirstColumn="0" w:firstRowLastColumn="0" w:lastRowFirstColumn="0" w:lastRowLastColumn="0"/>
          <w:trHeight w:val="257"/>
        </w:trPr>
        <w:tc>
          <w:tcPr>
            <w:tcW w:w="2802" w:type="dxa"/>
            <w:noWrap/>
            <w:hideMark/>
          </w:tcPr>
          <w:p w14:paraId="52120D6D" w14:textId="77777777" w:rsidR="0067409F" w:rsidRPr="00432BEF" w:rsidRDefault="0067409F" w:rsidP="0067409F">
            <w:pPr>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Zambia</w:t>
            </w:r>
          </w:p>
        </w:tc>
        <w:tc>
          <w:tcPr>
            <w:tcW w:w="2126" w:type="dxa"/>
            <w:noWrap/>
            <w:hideMark/>
          </w:tcPr>
          <w:p w14:paraId="1999E1C5"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3.90%</w:t>
            </w:r>
          </w:p>
        </w:tc>
        <w:tc>
          <w:tcPr>
            <w:tcW w:w="1843" w:type="dxa"/>
            <w:noWrap/>
            <w:hideMark/>
          </w:tcPr>
          <w:p w14:paraId="3F770DDF"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6.38%</w:t>
            </w:r>
          </w:p>
        </w:tc>
        <w:tc>
          <w:tcPr>
            <w:tcW w:w="1670" w:type="dxa"/>
            <w:noWrap/>
            <w:hideMark/>
          </w:tcPr>
          <w:p w14:paraId="555BEC8B"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213</w:t>
            </w:r>
          </w:p>
        </w:tc>
        <w:tc>
          <w:tcPr>
            <w:tcW w:w="1417" w:type="dxa"/>
            <w:noWrap/>
            <w:hideMark/>
          </w:tcPr>
          <w:p w14:paraId="428E63BE"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202</w:t>
            </w:r>
          </w:p>
        </w:tc>
        <w:tc>
          <w:tcPr>
            <w:tcW w:w="1669" w:type="dxa"/>
            <w:noWrap/>
            <w:hideMark/>
          </w:tcPr>
          <w:p w14:paraId="6B95424B"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11</w:t>
            </w:r>
          </w:p>
        </w:tc>
        <w:tc>
          <w:tcPr>
            <w:tcW w:w="1417" w:type="dxa"/>
            <w:noWrap/>
            <w:hideMark/>
          </w:tcPr>
          <w:p w14:paraId="581D2205"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94.84%</w:t>
            </w:r>
          </w:p>
        </w:tc>
        <w:tc>
          <w:tcPr>
            <w:tcW w:w="1669" w:type="dxa"/>
            <w:noWrap/>
            <w:hideMark/>
          </w:tcPr>
          <w:p w14:paraId="70AEED82"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5.16%</w:t>
            </w:r>
          </w:p>
        </w:tc>
      </w:tr>
      <w:tr w:rsidR="0067409F" w:rsidRPr="00432BEF" w14:paraId="7B7E7706" w14:textId="77777777" w:rsidTr="00432BEF">
        <w:trPr>
          <w:cnfStyle w:val="000000010000" w:firstRow="0" w:lastRow="0" w:firstColumn="0" w:lastColumn="0" w:oddVBand="0" w:evenVBand="0" w:oddHBand="0" w:evenHBand="1" w:firstRowFirstColumn="0" w:firstRowLastColumn="0" w:lastRowFirstColumn="0" w:lastRowLastColumn="0"/>
          <w:trHeight w:val="257"/>
        </w:trPr>
        <w:tc>
          <w:tcPr>
            <w:tcW w:w="2802" w:type="dxa"/>
            <w:noWrap/>
            <w:hideMark/>
          </w:tcPr>
          <w:p w14:paraId="38DEF8BF" w14:textId="321D5F27" w:rsidR="0067409F" w:rsidRPr="00432BEF" w:rsidRDefault="0067409F" w:rsidP="0067409F">
            <w:pPr>
              <w:rPr>
                <w:rFonts w:eastAsia="Times New Roman" w:cstheme="minorHAnsi"/>
                <w:color w:val="000000"/>
                <w:sz w:val="18"/>
                <w:szCs w:val="18"/>
                <w:lang w:val="es-ES" w:eastAsia="zh-CN"/>
              </w:rPr>
            </w:pPr>
            <w:proofErr w:type="spellStart"/>
            <w:r w:rsidRPr="00432BEF">
              <w:rPr>
                <w:rFonts w:eastAsia="Times New Roman" w:cstheme="minorHAnsi"/>
                <w:color w:val="000000"/>
                <w:sz w:val="18"/>
                <w:szCs w:val="18"/>
                <w:lang w:val="es-ES" w:eastAsia="zh-CN"/>
              </w:rPr>
              <w:t>Zimbabwe</w:t>
            </w:r>
            <w:proofErr w:type="spellEnd"/>
          </w:p>
        </w:tc>
        <w:tc>
          <w:tcPr>
            <w:tcW w:w="2126" w:type="dxa"/>
            <w:noWrap/>
            <w:hideMark/>
          </w:tcPr>
          <w:p w14:paraId="5CF98D41" w14:textId="29556C38"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1.90%</w:t>
            </w:r>
          </w:p>
        </w:tc>
        <w:tc>
          <w:tcPr>
            <w:tcW w:w="1843" w:type="dxa"/>
            <w:noWrap/>
            <w:hideMark/>
          </w:tcPr>
          <w:p w14:paraId="6CACED99" w14:textId="4EE5DE4D"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5.51%</w:t>
            </w:r>
          </w:p>
        </w:tc>
        <w:tc>
          <w:tcPr>
            <w:tcW w:w="1670" w:type="dxa"/>
            <w:noWrap/>
            <w:hideMark/>
          </w:tcPr>
          <w:p w14:paraId="4123F181"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137</w:t>
            </w:r>
          </w:p>
        </w:tc>
        <w:tc>
          <w:tcPr>
            <w:tcW w:w="1417" w:type="dxa"/>
            <w:noWrap/>
            <w:hideMark/>
          </w:tcPr>
          <w:p w14:paraId="1AF4C37F" w14:textId="52DA446F"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125</w:t>
            </w:r>
          </w:p>
        </w:tc>
        <w:tc>
          <w:tcPr>
            <w:tcW w:w="1669" w:type="dxa"/>
            <w:noWrap/>
            <w:hideMark/>
          </w:tcPr>
          <w:p w14:paraId="3AFCAC9D" w14:textId="77777777"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13</w:t>
            </w:r>
          </w:p>
        </w:tc>
        <w:tc>
          <w:tcPr>
            <w:tcW w:w="1417" w:type="dxa"/>
            <w:noWrap/>
            <w:hideMark/>
          </w:tcPr>
          <w:p w14:paraId="0A76D5D6" w14:textId="4387937F"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91.24%</w:t>
            </w:r>
          </w:p>
        </w:tc>
        <w:tc>
          <w:tcPr>
            <w:tcW w:w="1669" w:type="dxa"/>
            <w:noWrap/>
            <w:hideMark/>
          </w:tcPr>
          <w:p w14:paraId="0BF61B35" w14:textId="3A3EE89A" w:rsidR="0067409F" w:rsidRPr="00432BEF" w:rsidRDefault="0067409F" w:rsidP="0067409F">
            <w:pPr>
              <w:jc w:val="right"/>
              <w:rPr>
                <w:rFonts w:eastAsia="Times New Roman" w:cstheme="minorHAnsi"/>
                <w:color w:val="000000"/>
                <w:sz w:val="18"/>
                <w:szCs w:val="18"/>
                <w:lang w:val="es-ES" w:eastAsia="zh-CN"/>
              </w:rPr>
            </w:pPr>
            <w:r w:rsidRPr="00432BEF">
              <w:rPr>
                <w:rFonts w:eastAsia="Times New Roman" w:cstheme="minorHAnsi"/>
                <w:color w:val="000000"/>
                <w:sz w:val="18"/>
                <w:szCs w:val="18"/>
                <w:lang w:val="es-ES" w:eastAsia="zh-CN"/>
              </w:rPr>
              <w:t>9.49%</w:t>
            </w:r>
          </w:p>
        </w:tc>
      </w:tr>
    </w:tbl>
    <w:p w14:paraId="3DA918EA" w14:textId="4AAFAF95" w:rsidR="0089618C" w:rsidRDefault="0089618C">
      <w:pPr>
        <w:rPr>
          <w:rFonts w:ascii="Arial" w:eastAsiaTheme="minorHAnsi" w:hAnsi="Arial" w:cs="Arial"/>
          <w:sz w:val="20"/>
          <w:szCs w:val="20"/>
        </w:rPr>
      </w:pPr>
    </w:p>
    <w:p w14:paraId="1B2DAD0A" w14:textId="4B211A22" w:rsidR="0089618C" w:rsidRDefault="0089618C">
      <w:pPr>
        <w:rPr>
          <w:rFonts w:ascii="Arial" w:eastAsiaTheme="minorHAnsi" w:hAnsi="Arial" w:cs="Arial"/>
          <w:sz w:val="20"/>
          <w:szCs w:val="20"/>
        </w:rPr>
      </w:pPr>
    </w:p>
    <w:p w14:paraId="42541EEA" w14:textId="6E9117B2" w:rsidR="0089618C" w:rsidRDefault="0089618C">
      <w:pPr>
        <w:rPr>
          <w:rFonts w:ascii="Arial" w:eastAsiaTheme="minorHAnsi" w:hAnsi="Arial" w:cs="Arial"/>
          <w:sz w:val="20"/>
          <w:szCs w:val="20"/>
        </w:rPr>
      </w:pPr>
    </w:p>
    <w:p w14:paraId="3032DF62" w14:textId="635787EA" w:rsidR="0089618C" w:rsidRDefault="0089618C" w:rsidP="0089618C">
      <w:pPr>
        <w:widowControl w:val="0"/>
        <w:autoSpaceDE w:val="0"/>
        <w:autoSpaceDN w:val="0"/>
        <w:adjustRightInd w:val="0"/>
        <w:spacing w:before="42"/>
        <w:ind w:right="-20"/>
        <w:rPr>
          <w:rFonts w:cs="Arial"/>
          <w:i/>
          <w:color w:val="231F20"/>
          <w:w w:val="108"/>
          <w:sz w:val="12"/>
          <w:szCs w:val="14"/>
        </w:rPr>
      </w:pPr>
    </w:p>
    <w:p w14:paraId="2AB08D6B" w14:textId="0933A456" w:rsidR="0089618C" w:rsidRDefault="0089618C" w:rsidP="0089618C">
      <w:pPr>
        <w:widowControl w:val="0"/>
        <w:autoSpaceDE w:val="0"/>
        <w:autoSpaceDN w:val="0"/>
        <w:adjustRightInd w:val="0"/>
        <w:spacing w:before="42"/>
        <w:ind w:right="-20"/>
        <w:rPr>
          <w:rFonts w:cs="Arial"/>
          <w:i/>
          <w:color w:val="231F20"/>
          <w:w w:val="108"/>
          <w:sz w:val="12"/>
          <w:szCs w:val="14"/>
        </w:rPr>
      </w:pPr>
    </w:p>
    <w:p w14:paraId="522DFB0A" w14:textId="5830EA07" w:rsidR="0089618C" w:rsidRDefault="0089618C" w:rsidP="0089618C">
      <w:pPr>
        <w:widowControl w:val="0"/>
        <w:autoSpaceDE w:val="0"/>
        <w:autoSpaceDN w:val="0"/>
        <w:adjustRightInd w:val="0"/>
        <w:spacing w:before="42"/>
        <w:ind w:right="-20"/>
        <w:rPr>
          <w:rFonts w:cs="Arial"/>
          <w:i/>
          <w:color w:val="231F20"/>
          <w:w w:val="108"/>
          <w:sz w:val="12"/>
          <w:szCs w:val="14"/>
        </w:rPr>
      </w:pPr>
    </w:p>
    <w:p w14:paraId="49049F2D" w14:textId="00D9592B" w:rsidR="0089618C" w:rsidRDefault="0089618C" w:rsidP="0089618C">
      <w:pPr>
        <w:widowControl w:val="0"/>
        <w:autoSpaceDE w:val="0"/>
        <w:autoSpaceDN w:val="0"/>
        <w:adjustRightInd w:val="0"/>
        <w:spacing w:before="42"/>
        <w:ind w:right="-20"/>
        <w:rPr>
          <w:rFonts w:cs="Arial"/>
          <w:i/>
          <w:color w:val="231F20"/>
          <w:w w:val="108"/>
          <w:sz w:val="12"/>
          <w:szCs w:val="14"/>
        </w:rPr>
      </w:pPr>
    </w:p>
    <w:p w14:paraId="515B5471"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37C35DC0"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5CF05B66"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0BEF514B"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770E59AC"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7C931ADC"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327A6208"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1C0FAD57"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2079B3AE"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77EEE237"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2269472D"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3BDC521B"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0E469799"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45328E7D"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3F913D4F"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41E9C8C1"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40C771C6"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3E6494B8"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33AA1DE0"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2048FBB6"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2AED26B9"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66F3441F"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1D894CF4"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3759F180"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620DA110"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3FE8BB3A"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5E6386CC"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2B371B13"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7C166F02"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03AD8808"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33484864"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770DE19E"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6A955A90"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7EC0435D"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30E54D0F"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67C9FF1B"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4B4C93A9"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53C9A6F7"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7A173322" w14:textId="77777777" w:rsidR="0089618C" w:rsidRDefault="0089618C" w:rsidP="0089618C">
      <w:pPr>
        <w:widowControl w:val="0"/>
        <w:autoSpaceDE w:val="0"/>
        <w:autoSpaceDN w:val="0"/>
        <w:adjustRightInd w:val="0"/>
        <w:spacing w:before="42"/>
        <w:ind w:right="-20"/>
        <w:rPr>
          <w:rFonts w:cs="Arial"/>
          <w:i/>
          <w:color w:val="231F20"/>
          <w:w w:val="108"/>
          <w:sz w:val="12"/>
          <w:szCs w:val="14"/>
        </w:rPr>
      </w:pPr>
    </w:p>
    <w:p w14:paraId="6711A4A6" w14:textId="77777777" w:rsidR="0089618C" w:rsidRPr="00991DB7" w:rsidRDefault="0089618C" w:rsidP="0089618C">
      <w:pPr>
        <w:widowControl w:val="0"/>
        <w:autoSpaceDE w:val="0"/>
        <w:autoSpaceDN w:val="0"/>
        <w:adjustRightInd w:val="0"/>
        <w:spacing w:before="42"/>
        <w:ind w:right="-20"/>
        <w:rPr>
          <w:rFonts w:ascii="Arial" w:hAnsi="Arial" w:cs="Arial"/>
          <w:i/>
          <w:color w:val="7F7F7F" w:themeColor="text1" w:themeTint="80"/>
          <w:w w:val="108"/>
          <w:sz w:val="14"/>
          <w:szCs w:val="14"/>
        </w:rPr>
      </w:pPr>
      <w:r w:rsidRPr="00991DB7">
        <w:rPr>
          <w:rFonts w:ascii="Arial" w:hAnsi="Arial" w:cs="Arial"/>
          <w:i/>
          <w:color w:val="231F20"/>
          <w:w w:val="108"/>
          <w:sz w:val="12"/>
          <w:szCs w:val="14"/>
        </w:rPr>
        <w:br/>
      </w:r>
      <w:r w:rsidRPr="00991DB7">
        <w:rPr>
          <w:rFonts w:ascii="Arial" w:hAnsi="Arial" w:cs="Arial"/>
          <w:i/>
          <w:color w:val="7F7F7F" w:themeColor="text1" w:themeTint="80"/>
          <w:w w:val="108"/>
          <w:sz w:val="14"/>
          <w:szCs w:val="14"/>
        </w:rPr>
        <w:t>Disclaimer</w:t>
      </w:r>
    </w:p>
    <w:p w14:paraId="2AE6538A" w14:textId="77777777" w:rsidR="0067409F" w:rsidRPr="00991DB7" w:rsidRDefault="0089618C" w:rsidP="008F4768">
      <w:pPr>
        <w:widowControl w:val="0"/>
        <w:autoSpaceDE w:val="0"/>
        <w:autoSpaceDN w:val="0"/>
        <w:adjustRightInd w:val="0"/>
        <w:spacing w:before="19" w:line="268" w:lineRule="auto"/>
        <w:ind w:right="66"/>
        <w:rPr>
          <w:rFonts w:ascii="Arial" w:hAnsi="Arial" w:cs="Arial"/>
          <w:color w:val="7F7F7F" w:themeColor="text1" w:themeTint="80"/>
          <w:sz w:val="14"/>
          <w:szCs w:val="14"/>
        </w:rPr>
      </w:pPr>
      <w:r w:rsidRPr="00991DB7">
        <w:rPr>
          <w:rFonts w:ascii="Arial" w:hAnsi="Arial" w:cs="Arial"/>
          <w:color w:val="7F7F7F" w:themeColor="text1" w:themeTint="80"/>
          <w:sz w:val="14"/>
          <w:szCs w:val="14"/>
        </w:rPr>
        <w:t>Infrastructure and Cities for Economic Development (“ICED”) is a project funded by the UK</w:t>
      </w:r>
      <w:r w:rsidRPr="00991DB7">
        <w:rPr>
          <w:rFonts w:ascii="Arial" w:hAnsi="Arial" w:cs="Arial"/>
          <w:color w:val="7F7F7F" w:themeColor="text1" w:themeTint="80"/>
          <w:spacing w:val="-2"/>
          <w:sz w:val="14"/>
          <w:szCs w:val="14"/>
        </w:rPr>
        <w:t>’</w:t>
      </w:r>
      <w:r w:rsidRPr="00991DB7">
        <w:rPr>
          <w:rFonts w:ascii="Arial" w:hAnsi="Arial" w:cs="Arial"/>
          <w:color w:val="7F7F7F" w:themeColor="text1" w:themeTint="80"/>
          <w:sz w:val="14"/>
          <w:szCs w:val="14"/>
        </w:rPr>
        <w:t>s Department for International Development (“DFID”) and is led and administered by PricewaterhouseCoopers LL</w:t>
      </w:r>
      <w:r w:rsidRPr="00991DB7">
        <w:rPr>
          <w:rFonts w:ascii="Arial" w:hAnsi="Arial" w:cs="Arial"/>
          <w:color w:val="7F7F7F" w:themeColor="text1" w:themeTint="80"/>
          <w:spacing w:val="-18"/>
          <w:sz w:val="14"/>
          <w:szCs w:val="14"/>
        </w:rPr>
        <w:t>P</w:t>
      </w:r>
      <w:r w:rsidRPr="00991DB7">
        <w:rPr>
          <w:rFonts w:ascii="Arial" w:hAnsi="Arial" w:cs="Arial"/>
          <w:color w:val="7F7F7F" w:themeColor="text1" w:themeTint="80"/>
          <w:sz w:val="14"/>
          <w:szCs w:val="14"/>
        </w:rPr>
        <w:t>, working with organisations including</w:t>
      </w:r>
      <w:r w:rsidRPr="00991DB7">
        <w:rPr>
          <w:rFonts w:ascii="Arial" w:hAnsi="Arial" w:cs="Arial"/>
          <w:color w:val="7F7F7F" w:themeColor="text1" w:themeTint="80"/>
          <w:spacing w:val="-7"/>
          <w:sz w:val="14"/>
          <w:szCs w:val="14"/>
        </w:rPr>
        <w:t xml:space="preserve"> </w:t>
      </w:r>
      <w:r w:rsidRPr="00991DB7">
        <w:rPr>
          <w:rFonts w:ascii="Arial" w:hAnsi="Arial" w:cs="Arial"/>
          <w:color w:val="7F7F7F" w:themeColor="text1" w:themeTint="80"/>
          <w:sz w:val="14"/>
          <w:szCs w:val="14"/>
        </w:rPr>
        <w:t>Adam Smith International,</w:t>
      </w:r>
      <w:r w:rsidRPr="00991DB7">
        <w:rPr>
          <w:rFonts w:ascii="Arial" w:hAnsi="Arial" w:cs="Arial"/>
          <w:color w:val="7F7F7F" w:themeColor="text1" w:themeTint="80"/>
          <w:spacing w:val="-8"/>
          <w:sz w:val="14"/>
          <w:szCs w:val="14"/>
        </w:rPr>
        <w:t xml:space="preserve"> </w:t>
      </w:r>
      <w:r w:rsidRPr="00991DB7">
        <w:rPr>
          <w:rFonts w:ascii="Arial" w:hAnsi="Arial" w:cs="Arial"/>
          <w:color w:val="7F7F7F" w:themeColor="text1" w:themeTint="80"/>
          <w:sz w:val="14"/>
          <w:szCs w:val="14"/>
        </w:rPr>
        <w:t>Arup, Engineers</w:t>
      </w:r>
      <w:r w:rsidRPr="00991DB7">
        <w:rPr>
          <w:rFonts w:ascii="Arial" w:hAnsi="Arial" w:cs="Arial"/>
          <w:color w:val="7F7F7F" w:themeColor="text1" w:themeTint="80"/>
          <w:spacing w:val="-8"/>
          <w:sz w:val="14"/>
          <w:szCs w:val="14"/>
        </w:rPr>
        <w:t xml:space="preserve"> </w:t>
      </w:r>
      <w:r w:rsidRPr="00991DB7">
        <w:rPr>
          <w:rFonts w:ascii="Arial" w:hAnsi="Arial" w:cs="Arial"/>
          <w:color w:val="7F7F7F" w:themeColor="text1" w:themeTint="80"/>
          <w:sz w:val="14"/>
          <w:szCs w:val="14"/>
        </w:rPr>
        <w:t>Against Povert</w:t>
      </w:r>
      <w:r w:rsidRPr="00991DB7">
        <w:rPr>
          <w:rFonts w:ascii="Arial" w:hAnsi="Arial" w:cs="Arial"/>
          <w:color w:val="7F7F7F" w:themeColor="text1" w:themeTint="80"/>
          <w:spacing w:val="-10"/>
          <w:sz w:val="14"/>
          <w:szCs w:val="14"/>
        </w:rPr>
        <w:t>y</w:t>
      </w:r>
      <w:r w:rsidRPr="00991DB7">
        <w:rPr>
          <w:rFonts w:ascii="Arial" w:hAnsi="Arial" w:cs="Arial"/>
          <w:color w:val="7F7F7F" w:themeColor="text1" w:themeTint="80"/>
          <w:sz w:val="14"/>
          <w:szCs w:val="14"/>
        </w:rPr>
        <w:t>, International Institute for Environment and Development, MDY</w:t>
      </w:r>
      <w:r w:rsidRPr="00991DB7">
        <w:rPr>
          <w:rFonts w:ascii="Arial" w:hAnsi="Arial" w:cs="Arial"/>
          <w:color w:val="7F7F7F" w:themeColor="text1" w:themeTint="80"/>
          <w:spacing w:val="-2"/>
          <w:sz w:val="14"/>
          <w:szCs w:val="14"/>
        </w:rPr>
        <w:t xml:space="preserve"> </w:t>
      </w:r>
      <w:r w:rsidRPr="00991DB7">
        <w:rPr>
          <w:rFonts w:ascii="Arial" w:hAnsi="Arial" w:cs="Arial"/>
          <w:color w:val="7F7F7F" w:themeColor="text1" w:themeTint="80"/>
          <w:sz w:val="14"/>
          <w:szCs w:val="14"/>
        </w:rPr>
        <w:t>Legal and Social Development Direct. This document has been prepared only for DFID in accordance with the terms agreed with DFID and for no other purpose. PricewaterhouseCoopers LLP</w:t>
      </w:r>
      <w:r w:rsidRPr="00991DB7">
        <w:rPr>
          <w:rFonts w:ascii="Arial" w:hAnsi="Arial" w:cs="Arial"/>
          <w:color w:val="7F7F7F" w:themeColor="text1" w:themeTint="80"/>
          <w:spacing w:val="-2"/>
          <w:sz w:val="14"/>
          <w:szCs w:val="14"/>
        </w:rPr>
        <w:t xml:space="preserve"> </w:t>
      </w:r>
      <w:r w:rsidRPr="00991DB7">
        <w:rPr>
          <w:rFonts w:ascii="Arial" w:hAnsi="Arial" w:cs="Arial"/>
          <w:color w:val="7F7F7F" w:themeColor="text1" w:themeTint="80"/>
          <w:sz w:val="14"/>
          <w:szCs w:val="14"/>
        </w:rPr>
        <w:t>and the other entities delivering ICED (as listed above) accept no liability to anyone else in connection with this document.</w:t>
      </w:r>
    </w:p>
    <w:sectPr w:rsidR="0067409F" w:rsidRPr="00991DB7" w:rsidSect="0067409F">
      <w:pgSz w:w="16838" w:h="11906" w:orient="landscape"/>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BD15D" w14:textId="77777777" w:rsidR="009C0119" w:rsidRDefault="009C0119" w:rsidP="00EF657D">
      <w:r>
        <w:separator/>
      </w:r>
    </w:p>
  </w:endnote>
  <w:endnote w:type="continuationSeparator" w:id="0">
    <w:p w14:paraId="06615F25" w14:textId="77777777" w:rsidR="009C0119" w:rsidRDefault="009C0119" w:rsidP="00EF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7660" w14:textId="77777777" w:rsidR="006A62B6" w:rsidRDefault="006A62B6" w:rsidP="0038168F">
    <w:pPr>
      <w:pStyle w:val="Footer"/>
      <w:ind w:right="459"/>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617836"/>
      <w:docPartObj>
        <w:docPartGallery w:val="Page Numbers (Bottom of Page)"/>
        <w:docPartUnique/>
      </w:docPartObj>
    </w:sdtPr>
    <w:sdtContent>
      <w:p w14:paraId="635E76C7" w14:textId="560154E5" w:rsidR="006A62B6" w:rsidRDefault="006A62B6" w:rsidP="0038168F">
        <w:pPr>
          <w:pStyle w:val="Footer"/>
          <w:ind w:right="-458"/>
          <w:jc w:val="right"/>
        </w:pPr>
        <w:fldSimple w:instr=" STYLEREF  &quot;Front Cover - Sub Heading&quot;  \* MERGEFORMAT ">
          <w:r w:rsidR="007236AB" w:rsidRPr="007236AB">
            <w:rPr>
              <w:b/>
              <w:bCs/>
              <w:noProof/>
            </w:rPr>
            <w:t>Construction Sector Employment in Low Income</w:t>
          </w:r>
          <w:r w:rsidR="007236AB">
            <w:rPr>
              <w:noProof/>
            </w:rPr>
            <w:t xml:space="preserve"> </w:t>
          </w:r>
          <w:r w:rsidR="007236AB" w:rsidRPr="007236AB">
            <w:rPr>
              <w:b/>
              <w:noProof/>
            </w:rPr>
            <w:t>Countries</w:t>
          </w:r>
        </w:fldSimple>
        <w:r>
          <w:t xml:space="preserve"> | </w:t>
        </w:r>
        <w:r>
          <w:fldChar w:fldCharType="begin"/>
        </w:r>
        <w:r>
          <w:instrText xml:space="preserve"> PAGE   \* MERGEFORMAT </w:instrText>
        </w:r>
        <w:r>
          <w:fldChar w:fldCharType="separate"/>
        </w:r>
        <w:r w:rsidR="007236AB">
          <w:rPr>
            <w:noProof/>
          </w:rPr>
          <w:t>36</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4E76C" w14:textId="77777777" w:rsidR="009C0119" w:rsidRDefault="009C0119" w:rsidP="00EF657D">
      <w:r>
        <w:separator/>
      </w:r>
    </w:p>
  </w:footnote>
  <w:footnote w:type="continuationSeparator" w:id="0">
    <w:p w14:paraId="3953298C" w14:textId="77777777" w:rsidR="009C0119" w:rsidRDefault="009C0119" w:rsidP="00EF657D">
      <w:r>
        <w:continuationSeparator/>
      </w:r>
    </w:p>
  </w:footnote>
  <w:footnote w:id="1">
    <w:p w14:paraId="111399DB" w14:textId="77777777" w:rsidR="006A62B6" w:rsidRPr="00991DB7" w:rsidRDefault="006A62B6">
      <w:pPr>
        <w:pStyle w:val="FootnoteText"/>
        <w:rPr>
          <w:rFonts w:ascii="Arial" w:hAnsi="Arial" w:cs="Arial"/>
          <w:sz w:val="18"/>
          <w:szCs w:val="18"/>
        </w:rPr>
      </w:pPr>
      <w:r w:rsidRPr="00991DB7">
        <w:rPr>
          <w:rStyle w:val="FootnoteReference"/>
          <w:rFonts w:ascii="Arial" w:hAnsi="Arial" w:cs="Arial"/>
          <w:sz w:val="16"/>
          <w:szCs w:val="18"/>
        </w:rPr>
        <w:footnoteRef/>
      </w:r>
      <w:r w:rsidRPr="00991DB7">
        <w:rPr>
          <w:rFonts w:ascii="Arial" w:hAnsi="Arial" w:cs="Arial"/>
          <w:sz w:val="16"/>
          <w:szCs w:val="18"/>
        </w:rPr>
        <w:t xml:space="preserve"> Job generation in the sector, however, seems to be lower in low-income countries (LICs) than in higher income countries, perhaps due to the lower level of development within the construction industry supply chain.</w:t>
      </w:r>
    </w:p>
  </w:footnote>
  <w:footnote w:id="2">
    <w:p w14:paraId="380214A4" w14:textId="77777777" w:rsidR="006A62B6" w:rsidRPr="00EE62A5" w:rsidRDefault="006A62B6" w:rsidP="008632F2">
      <w:pPr>
        <w:pStyle w:val="FootnoteText"/>
        <w:rPr>
          <w:rFonts w:ascii="Arial" w:hAnsi="Arial" w:cs="Arial"/>
          <w:sz w:val="16"/>
          <w:szCs w:val="16"/>
        </w:rPr>
      </w:pPr>
      <w:r w:rsidRPr="00EE62A5">
        <w:rPr>
          <w:rStyle w:val="FootnoteReference"/>
          <w:rFonts w:ascii="Arial" w:hAnsi="Arial" w:cs="Arial"/>
          <w:sz w:val="16"/>
          <w:szCs w:val="16"/>
        </w:rPr>
        <w:footnoteRef/>
      </w:r>
      <w:r w:rsidRPr="00EE62A5">
        <w:rPr>
          <w:rFonts w:ascii="Arial" w:hAnsi="Arial" w:cs="Arial"/>
          <w:sz w:val="16"/>
          <w:szCs w:val="16"/>
        </w:rPr>
        <w:t xml:space="preserve"> Quality employment is defined as employment that complies with the main pil</w:t>
      </w:r>
      <w:r>
        <w:rPr>
          <w:rFonts w:ascii="Arial" w:hAnsi="Arial" w:cs="Arial"/>
          <w:sz w:val="16"/>
          <w:szCs w:val="16"/>
        </w:rPr>
        <w:t xml:space="preserve">lars of the decent work agenda: </w:t>
      </w:r>
      <w:r w:rsidRPr="00EE62A5">
        <w:rPr>
          <w:rFonts w:ascii="Arial" w:hAnsi="Arial" w:cs="Arial"/>
          <w:sz w:val="16"/>
          <w:szCs w:val="16"/>
        </w:rPr>
        <w:t>http://www.ilo.org/global/topics/decent-work/lang--</w:t>
      </w:r>
      <w:proofErr w:type="spellStart"/>
      <w:r w:rsidRPr="00EE62A5">
        <w:rPr>
          <w:rFonts w:ascii="Arial" w:hAnsi="Arial" w:cs="Arial"/>
          <w:sz w:val="16"/>
          <w:szCs w:val="16"/>
        </w:rPr>
        <w:t>en</w:t>
      </w:r>
      <w:proofErr w:type="spellEnd"/>
      <w:r w:rsidRPr="00EE62A5">
        <w:rPr>
          <w:rFonts w:ascii="Arial" w:hAnsi="Arial" w:cs="Arial"/>
          <w:sz w:val="16"/>
          <w:szCs w:val="16"/>
        </w:rPr>
        <w:t>/index.htm</w:t>
      </w:r>
    </w:p>
  </w:footnote>
  <w:footnote w:id="3">
    <w:p w14:paraId="62A4A77D" w14:textId="03CA4003" w:rsidR="006A62B6" w:rsidRPr="00432BEF" w:rsidRDefault="006A62B6">
      <w:pPr>
        <w:pStyle w:val="FootnoteText"/>
        <w:rPr>
          <w:rFonts w:ascii="Arial" w:hAnsi="Arial" w:cs="Arial"/>
          <w:sz w:val="16"/>
          <w:szCs w:val="16"/>
        </w:rPr>
      </w:pPr>
      <w:r w:rsidRPr="00432BEF">
        <w:rPr>
          <w:rStyle w:val="FootnoteReference"/>
          <w:rFonts w:ascii="Arial" w:hAnsi="Arial" w:cs="Arial"/>
          <w:sz w:val="16"/>
          <w:szCs w:val="16"/>
        </w:rPr>
        <w:footnoteRef/>
      </w:r>
      <w:r w:rsidRPr="00432BEF">
        <w:rPr>
          <w:rFonts w:ascii="Arial" w:hAnsi="Arial" w:cs="Arial"/>
          <w:sz w:val="16"/>
          <w:szCs w:val="16"/>
        </w:rPr>
        <w:t xml:space="preserve"> For detailed description, see Part Three, Category </w:t>
      </w:r>
      <w:r w:rsidRPr="00560CB6">
        <w:rPr>
          <w:rFonts w:ascii="Arial" w:hAnsi="Arial" w:cs="Arial"/>
          <w:sz w:val="16"/>
          <w:szCs w:val="16"/>
        </w:rPr>
        <w:t xml:space="preserve">F in United Nations </w:t>
      </w:r>
      <w:r w:rsidRPr="00432BEF">
        <w:rPr>
          <w:rFonts w:ascii="Arial" w:hAnsi="Arial" w:cs="Arial"/>
          <w:sz w:val="16"/>
          <w:szCs w:val="16"/>
        </w:rPr>
        <w:t xml:space="preserve">Statistical Commission (2002) </w:t>
      </w:r>
    </w:p>
  </w:footnote>
  <w:footnote w:id="4">
    <w:p w14:paraId="3C8F75BD" w14:textId="33903953" w:rsidR="006A62B6" w:rsidRPr="005524B7" w:rsidRDefault="006A62B6">
      <w:pPr>
        <w:pStyle w:val="FootnoteText"/>
      </w:pPr>
      <w:r w:rsidRPr="000E0C38">
        <w:rPr>
          <w:rStyle w:val="FootnoteReference"/>
          <w:rFonts w:ascii="Arial" w:hAnsi="Arial" w:cs="Arial"/>
          <w:sz w:val="16"/>
          <w:szCs w:val="16"/>
        </w:rPr>
        <w:footnoteRef/>
      </w:r>
      <w:r w:rsidRPr="000E0C38">
        <w:rPr>
          <w:rStyle w:val="FootnoteReference"/>
          <w:rFonts w:ascii="Arial" w:hAnsi="Arial" w:cs="Arial"/>
          <w:sz w:val="16"/>
          <w:szCs w:val="16"/>
        </w:rPr>
        <w:t xml:space="preserve"> </w:t>
      </w:r>
      <w:r w:rsidRPr="000E0C38">
        <w:rPr>
          <w:rFonts w:ascii="Arial" w:hAnsi="Arial" w:cs="Arial"/>
          <w:sz w:val="16"/>
          <w:szCs w:val="16"/>
        </w:rPr>
        <w:t xml:space="preserve">See ILO </w:t>
      </w:r>
      <w:r>
        <w:rPr>
          <w:rFonts w:ascii="Arial" w:hAnsi="Arial" w:cs="Arial"/>
          <w:sz w:val="16"/>
          <w:szCs w:val="16"/>
        </w:rPr>
        <w:t>(</w:t>
      </w:r>
      <w:r w:rsidRPr="000E0C38">
        <w:rPr>
          <w:rFonts w:ascii="Arial" w:hAnsi="Arial" w:cs="Arial"/>
          <w:sz w:val="16"/>
          <w:szCs w:val="16"/>
        </w:rPr>
        <w:t>2015</w:t>
      </w:r>
      <w:r>
        <w:rPr>
          <w:rFonts w:ascii="Arial" w:hAnsi="Arial" w:cs="Arial"/>
          <w:sz w:val="16"/>
          <w:szCs w:val="16"/>
        </w:rPr>
        <w:t>e)</w:t>
      </w:r>
      <w:r w:rsidRPr="000E0C38">
        <w:rPr>
          <w:rFonts w:ascii="Arial" w:hAnsi="Arial" w:cs="Arial"/>
          <w:sz w:val="16"/>
          <w:szCs w:val="16"/>
        </w:rPr>
        <w:t xml:space="preserve"> for an overview of limitations</w:t>
      </w:r>
      <w:r>
        <w:rPr>
          <w:rFonts w:ascii="Arial" w:hAnsi="Arial" w:cs="Arial"/>
          <w:sz w:val="16"/>
          <w:szCs w:val="16"/>
        </w:rPr>
        <w:t xml:space="preserve"> of Input-Output models</w:t>
      </w:r>
    </w:p>
  </w:footnote>
  <w:footnote w:id="5">
    <w:p w14:paraId="42DEA641" w14:textId="77777777" w:rsidR="006A62B6" w:rsidRPr="008F4768" w:rsidRDefault="006A62B6" w:rsidP="008632F2">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Schilling (2015)</w:t>
      </w:r>
    </w:p>
  </w:footnote>
  <w:footnote w:id="6">
    <w:p w14:paraId="729CDACF" w14:textId="77777777" w:rsidR="006A62B6" w:rsidRPr="008F4768" w:rsidRDefault="006A62B6" w:rsidP="00C316F0">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Global Construction Perspectives and Oxford Economics (2013) </w:t>
      </w:r>
    </w:p>
  </w:footnote>
  <w:footnote w:id="7">
    <w:p w14:paraId="0683372E" w14:textId="77777777" w:rsidR="006A62B6" w:rsidRPr="008F4768" w:rsidRDefault="006A62B6">
      <w:pPr>
        <w:pStyle w:val="FootnoteText"/>
        <w:rPr>
          <w:rFonts w:ascii="Arial" w:hAnsi="Arial" w:cs="Arial"/>
          <w:i/>
          <w:sz w:val="16"/>
          <w:szCs w:val="16"/>
        </w:rPr>
      </w:pPr>
      <w:r w:rsidRPr="008F4768">
        <w:rPr>
          <w:rStyle w:val="FootnoteReference"/>
          <w:rFonts w:ascii="Arial" w:hAnsi="Arial" w:cs="Arial"/>
          <w:sz w:val="16"/>
          <w:szCs w:val="16"/>
        </w:rPr>
        <w:footnoteRef/>
      </w:r>
      <w:r w:rsidRPr="008F4768">
        <w:rPr>
          <w:rStyle w:val="FootnoteReference"/>
          <w:rFonts w:ascii="Arial" w:hAnsi="Arial" w:cs="Arial"/>
          <w:sz w:val="16"/>
          <w:szCs w:val="16"/>
        </w:rPr>
        <w:t xml:space="preserve"> </w:t>
      </w:r>
      <w:r w:rsidRPr="008F4768">
        <w:rPr>
          <w:rFonts w:ascii="Arial" w:hAnsi="Arial" w:cs="Arial"/>
          <w:sz w:val="16"/>
          <w:szCs w:val="16"/>
        </w:rPr>
        <w:t>Infrastructure IC (2017)</w:t>
      </w:r>
    </w:p>
  </w:footnote>
  <w:footnote w:id="8">
    <w:p w14:paraId="72E89C7A" w14:textId="77777777" w:rsidR="006A62B6" w:rsidRPr="008F4768" w:rsidRDefault="006A62B6" w:rsidP="00972AF6">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The correlation coefficient is 0.19. It is obtained with the employment share of the construction sector for the year 2014 (ILOSTAT) and development is defined as GDP per capita, PPP (current international $) 2014.</w:t>
      </w:r>
    </w:p>
  </w:footnote>
  <w:footnote w:id="9">
    <w:p w14:paraId="60C7DA12" w14:textId="77777777" w:rsidR="006A62B6" w:rsidRPr="008F4768" w:rsidRDefault="006A62B6">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PwC analysis of United Nations, Department of Economic and Social Affairs, Population Division (2014).</w:t>
      </w:r>
    </w:p>
  </w:footnote>
  <w:footnote w:id="10">
    <w:p w14:paraId="6E05D827" w14:textId="77777777" w:rsidR="006A62B6" w:rsidRPr="008F4768" w:rsidRDefault="006A62B6" w:rsidP="000543E8">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Global Construction Perspectives and Oxford Economics (2013) </w:t>
      </w:r>
    </w:p>
  </w:footnote>
  <w:footnote w:id="11">
    <w:p w14:paraId="7142346B" w14:textId="77120707" w:rsidR="006A62B6" w:rsidRPr="008F4768" w:rsidRDefault="006A62B6" w:rsidP="008632F2">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DFID </w:t>
      </w:r>
      <w:proofErr w:type="spellStart"/>
      <w:r w:rsidRPr="008F4768">
        <w:rPr>
          <w:rFonts w:ascii="Arial" w:hAnsi="Arial" w:cs="Arial"/>
          <w:sz w:val="16"/>
          <w:szCs w:val="16"/>
        </w:rPr>
        <w:t>prioriti</w:t>
      </w:r>
      <w:r>
        <w:rPr>
          <w:rFonts w:ascii="Arial" w:hAnsi="Arial" w:cs="Arial"/>
          <w:sz w:val="16"/>
          <w:szCs w:val="16"/>
        </w:rPr>
        <w:t>y</w:t>
      </w:r>
      <w:proofErr w:type="spellEnd"/>
      <w:r w:rsidRPr="008F4768">
        <w:rPr>
          <w:rFonts w:ascii="Arial" w:hAnsi="Arial" w:cs="Arial"/>
          <w:sz w:val="16"/>
          <w:szCs w:val="16"/>
        </w:rPr>
        <w:t xml:space="preserve"> countries include: Afghanistan, Bangladesh, Burma, Democratic Republic of Congo (DRC), Ethiopia, Ghana, India, Kenya, Kyrgyzstan, Liberia, Malawi, Mozambique, Nepal, Nigeria, Occupied Palestinian Territories, Pakistan, Rwanda, Sierra Leone, Somalia, South Africa, South Sudan, Sudan, Tajikistan, Tanzania, Uganda, Yemen, Zambia and Zimbabwe.</w:t>
      </w:r>
    </w:p>
  </w:footnote>
  <w:footnote w:id="12">
    <w:p w14:paraId="13E1EE93" w14:textId="77777777" w:rsidR="006A62B6" w:rsidRPr="008F4768" w:rsidRDefault="006A62B6" w:rsidP="008632F2">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Construction supply chains refer to the cross-border organization of activities required to produce goods or services and bring them to consumers through inputs and various phases of development, production and delivery.</w:t>
      </w:r>
    </w:p>
  </w:footnote>
  <w:footnote w:id="13">
    <w:p w14:paraId="5D8A4110" w14:textId="77777777" w:rsidR="006A62B6" w:rsidRPr="00EA15D0"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Pr>
          <w:rFonts w:ascii="Arial" w:hAnsi="Arial" w:cs="Arial"/>
          <w:sz w:val="16"/>
          <w:szCs w:val="16"/>
        </w:rPr>
        <w:t xml:space="preserve"> ILO (2012)</w:t>
      </w:r>
    </w:p>
  </w:footnote>
  <w:footnote w:id="14">
    <w:p w14:paraId="1BEEDD7A" w14:textId="77777777" w:rsidR="006A62B6" w:rsidRPr="00B8057C" w:rsidRDefault="006A62B6" w:rsidP="008632F2">
      <w:pPr>
        <w:pStyle w:val="FootnoteText"/>
      </w:pPr>
      <w:r w:rsidRPr="00EA15D0">
        <w:rPr>
          <w:rStyle w:val="FootnoteReference"/>
          <w:rFonts w:ascii="Arial" w:hAnsi="Arial" w:cs="Arial"/>
          <w:sz w:val="16"/>
          <w:szCs w:val="16"/>
        </w:rPr>
        <w:footnoteRef/>
      </w:r>
      <w:r w:rsidRPr="00EA15D0">
        <w:rPr>
          <w:rFonts w:ascii="Arial" w:hAnsi="Arial" w:cs="Arial"/>
          <w:sz w:val="16"/>
          <w:szCs w:val="16"/>
        </w:rPr>
        <w:t xml:space="preserve"> </w:t>
      </w:r>
      <w:r>
        <w:rPr>
          <w:rFonts w:ascii="Arial" w:hAnsi="Arial" w:cs="Arial"/>
          <w:sz w:val="16"/>
          <w:szCs w:val="16"/>
        </w:rPr>
        <w:t xml:space="preserve">Authors calculations based on </w:t>
      </w:r>
      <w:r w:rsidRPr="00C03712">
        <w:rPr>
          <w:rFonts w:ascii="Arial" w:hAnsi="Arial" w:cs="Arial"/>
          <w:sz w:val="16"/>
          <w:szCs w:val="16"/>
        </w:rPr>
        <w:t>ILO (2015a)</w:t>
      </w:r>
      <w:r>
        <w:rPr>
          <w:rFonts w:ascii="Arial" w:hAnsi="Arial" w:cs="Arial"/>
          <w:sz w:val="16"/>
          <w:szCs w:val="16"/>
        </w:rPr>
        <w:t>.</w:t>
      </w:r>
      <w:r w:rsidRPr="00C03712">
        <w:rPr>
          <w:rFonts w:ascii="Arial" w:hAnsi="Arial" w:cs="Arial"/>
          <w:sz w:val="16"/>
          <w:szCs w:val="16"/>
        </w:rPr>
        <w:t xml:space="preserve"> </w:t>
      </w:r>
    </w:p>
  </w:footnote>
  <w:footnote w:id="15">
    <w:p w14:paraId="35B362EB" w14:textId="77777777" w:rsidR="006A62B6" w:rsidRPr="00432BEF" w:rsidRDefault="006A62B6">
      <w:pPr>
        <w:pStyle w:val="FootnoteText"/>
        <w:rPr>
          <w:rFonts w:ascii="Arial" w:hAnsi="Arial" w:cs="Arial"/>
          <w:sz w:val="16"/>
          <w:szCs w:val="16"/>
        </w:rPr>
      </w:pPr>
      <w:r w:rsidRPr="00432BEF">
        <w:rPr>
          <w:rStyle w:val="FootnoteReference"/>
          <w:rFonts w:ascii="Arial" w:hAnsi="Arial" w:cs="Arial"/>
          <w:sz w:val="16"/>
          <w:szCs w:val="16"/>
        </w:rPr>
        <w:footnoteRef/>
      </w:r>
      <w:r w:rsidRPr="00432BEF">
        <w:rPr>
          <w:rFonts w:ascii="Arial" w:hAnsi="Arial" w:cs="Arial"/>
          <w:sz w:val="16"/>
          <w:szCs w:val="16"/>
        </w:rPr>
        <w:t xml:space="preserve"> ibid.</w:t>
      </w:r>
    </w:p>
  </w:footnote>
  <w:footnote w:id="16">
    <w:p w14:paraId="3DE6A3CB" w14:textId="77777777" w:rsidR="006A62B6" w:rsidRPr="00F5670D" w:rsidRDefault="006A62B6">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w:t>
      </w:r>
      <w:r w:rsidRPr="00496198">
        <w:rPr>
          <w:rFonts w:ascii="Arial" w:hAnsi="Arial" w:cs="Arial"/>
          <w:sz w:val="16"/>
          <w:szCs w:val="16"/>
        </w:rPr>
        <w:t xml:space="preserve">Estimates of the number of migrants in the </w:t>
      </w:r>
      <w:r w:rsidRPr="00F5670D">
        <w:rPr>
          <w:rFonts w:ascii="Arial" w:hAnsi="Arial" w:cs="Arial"/>
          <w:sz w:val="16"/>
          <w:szCs w:val="16"/>
        </w:rPr>
        <w:t>construction industry are only available for Kyrgyzstan and Yemen. Source: ILOSTAT.</w:t>
      </w:r>
    </w:p>
  </w:footnote>
  <w:footnote w:id="17">
    <w:p w14:paraId="54267517" w14:textId="77777777" w:rsidR="006A62B6" w:rsidRPr="008F4768" w:rsidRDefault="006A62B6" w:rsidP="00531B46">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w:t>
      </w:r>
      <w:r w:rsidRPr="00496198">
        <w:rPr>
          <w:rFonts w:ascii="Arial" w:eastAsia="SimSun" w:hAnsi="Arial" w:cs="Arial"/>
          <w:sz w:val="16"/>
          <w:szCs w:val="16"/>
          <w:lang w:eastAsia="zh-CN"/>
        </w:rPr>
        <w:t xml:space="preserve">This means that many foreign workers and international students are counted as migrants. Additionally, the UN considers refugees and, in some cases, their descendants (such as Palestinians born in refugee camps outside of the Palestinian territories) to be international migrants. Estimates of the number of unauthorised immigrants </w:t>
      </w:r>
      <w:r w:rsidRPr="00F5670D">
        <w:rPr>
          <w:rFonts w:ascii="Arial" w:eastAsia="SimSun" w:hAnsi="Arial" w:cs="Arial"/>
          <w:sz w:val="16"/>
          <w:szCs w:val="16"/>
          <w:lang w:eastAsia="zh-CN"/>
        </w:rPr>
        <w:t>are included in these reported figures. Tourists, foreign-aid workers, temporary workers employed abroad for less than a year, and overseas military personnel are not counted as migrants.</w:t>
      </w:r>
    </w:p>
  </w:footnote>
  <w:footnote w:id="18">
    <w:p w14:paraId="6266E518" w14:textId="77777777" w:rsidR="006A62B6" w:rsidRPr="00C03712" w:rsidRDefault="006A62B6" w:rsidP="00531B46">
      <w:pPr>
        <w:pStyle w:val="FootnoteText"/>
        <w:rPr>
          <w:rFonts w:ascii="Arial" w:hAnsi="Arial" w:cs="Arial"/>
          <w:sz w:val="16"/>
          <w:szCs w:val="16"/>
        </w:rPr>
      </w:pPr>
      <w:r w:rsidRPr="00EE62A5">
        <w:rPr>
          <w:rStyle w:val="FootnoteReference"/>
          <w:rFonts w:ascii="Arial" w:hAnsi="Arial" w:cs="Arial"/>
          <w:sz w:val="16"/>
          <w:szCs w:val="16"/>
        </w:rPr>
        <w:footnoteRef/>
      </w:r>
      <w:r w:rsidRPr="00EE62A5">
        <w:rPr>
          <w:rFonts w:ascii="Arial" w:hAnsi="Arial" w:cs="Arial"/>
          <w:sz w:val="16"/>
          <w:szCs w:val="16"/>
        </w:rPr>
        <w:t xml:space="preserve"> ILO (2015</w:t>
      </w:r>
      <w:r>
        <w:rPr>
          <w:rFonts w:ascii="Arial" w:hAnsi="Arial" w:cs="Arial"/>
          <w:sz w:val="16"/>
          <w:szCs w:val="16"/>
        </w:rPr>
        <w:t>b) and ILO (2016)</w:t>
      </w:r>
    </w:p>
  </w:footnote>
  <w:footnote w:id="19">
    <w:p w14:paraId="206FBF95" w14:textId="77777777" w:rsidR="006A62B6" w:rsidRPr="00C444A5" w:rsidRDefault="006A62B6" w:rsidP="007D0079">
      <w:pPr>
        <w:pStyle w:val="FootnoteText"/>
        <w:rPr>
          <w:rFonts w:ascii="Arial" w:hAnsi="Arial" w:cs="Arial"/>
          <w:sz w:val="16"/>
          <w:szCs w:val="16"/>
        </w:rPr>
      </w:pPr>
      <w:r w:rsidRPr="00067D95">
        <w:rPr>
          <w:rStyle w:val="FootnoteReference"/>
          <w:rFonts w:ascii="Arial" w:hAnsi="Arial" w:cs="Arial"/>
          <w:sz w:val="16"/>
          <w:szCs w:val="16"/>
        </w:rPr>
        <w:footnoteRef/>
      </w:r>
      <w:r>
        <w:rPr>
          <w:rFonts w:ascii="Arial" w:hAnsi="Arial" w:cs="Arial"/>
          <w:sz w:val="16"/>
          <w:szCs w:val="16"/>
        </w:rPr>
        <w:t xml:space="preserve"> Forbes Insights (2012)</w:t>
      </w:r>
    </w:p>
  </w:footnote>
  <w:footnote w:id="20">
    <w:p w14:paraId="7A158640" w14:textId="77777777" w:rsidR="006A62B6" w:rsidRPr="00EA15D0" w:rsidRDefault="006A62B6" w:rsidP="00EA13CD">
      <w:pPr>
        <w:pStyle w:val="FootnoteText"/>
        <w:rPr>
          <w:rFonts w:ascii="Arial" w:hAnsi="Arial" w:cs="Arial"/>
          <w:sz w:val="16"/>
          <w:szCs w:val="16"/>
        </w:rPr>
      </w:pPr>
      <w:r w:rsidRPr="00EA15D0">
        <w:rPr>
          <w:rStyle w:val="FootnoteReference"/>
          <w:rFonts w:ascii="Arial" w:hAnsi="Arial" w:cs="Arial"/>
          <w:sz w:val="16"/>
          <w:szCs w:val="16"/>
        </w:rPr>
        <w:footnoteRef/>
      </w:r>
      <w:r w:rsidRPr="00EA15D0">
        <w:rPr>
          <w:rFonts w:ascii="Arial" w:hAnsi="Arial" w:cs="Arial"/>
          <w:sz w:val="16"/>
          <w:szCs w:val="16"/>
        </w:rPr>
        <w:t xml:space="preserve">Author calculations based on the </w:t>
      </w:r>
      <w:r>
        <w:rPr>
          <w:rFonts w:ascii="Arial" w:hAnsi="Arial" w:cs="Arial"/>
          <w:sz w:val="16"/>
          <w:szCs w:val="16"/>
        </w:rPr>
        <w:t>ILO(2015a)</w:t>
      </w:r>
    </w:p>
  </w:footnote>
  <w:footnote w:id="21">
    <w:p w14:paraId="26CC3E43" w14:textId="77777777" w:rsidR="006A62B6" w:rsidRPr="00EA15D0" w:rsidRDefault="006A62B6" w:rsidP="00EA13CD">
      <w:pPr>
        <w:pStyle w:val="FootnoteText"/>
        <w:rPr>
          <w:rFonts w:ascii="Arial" w:hAnsi="Arial" w:cs="Arial"/>
          <w:sz w:val="16"/>
          <w:szCs w:val="16"/>
        </w:rPr>
      </w:pPr>
      <w:r w:rsidRPr="00EA15D0">
        <w:rPr>
          <w:rStyle w:val="FootnoteReference"/>
          <w:rFonts w:ascii="Arial" w:hAnsi="Arial" w:cs="Arial"/>
          <w:sz w:val="16"/>
          <w:szCs w:val="16"/>
        </w:rPr>
        <w:footnoteRef/>
      </w:r>
      <w:r w:rsidRPr="00EA15D0">
        <w:rPr>
          <w:rFonts w:ascii="Arial" w:hAnsi="Arial" w:cs="Arial"/>
          <w:sz w:val="16"/>
          <w:szCs w:val="16"/>
        </w:rPr>
        <w:t xml:space="preserve"> ILO (2015</w:t>
      </w:r>
      <w:r>
        <w:rPr>
          <w:rFonts w:ascii="Arial" w:hAnsi="Arial" w:cs="Arial"/>
          <w:sz w:val="16"/>
          <w:szCs w:val="16"/>
        </w:rPr>
        <w:t>c)</w:t>
      </w:r>
    </w:p>
  </w:footnote>
  <w:footnote w:id="22">
    <w:p w14:paraId="047D514E" w14:textId="77777777" w:rsidR="006A62B6" w:rsidRPr="00A829C7" w:rsidRDefault="006A62B6" w:rsidP="007D0079">
      <w:pPr>
        <w:pStyle w:val="FootnoteText"/>
        <w:rPr>
          <w:rFonts w:ascii="Arial" w:hAnsi="Arial" w:cs="Arial"/>
          <w:sz w:val="16"/>
          <w:szCs w:val="16"/>
        </w:rPr>
      </w:pPr>
      <w:r w:rsidRPr="00A829C7">
        <w:rPr>
          <w:rStyle w:val="FootnoteReference"/>
          <w:rFonts w:ascii="Arial" w:hAnsi="Arial" w:cs="Arial"/>
          <w:sz w:val="16"/>
          <w:szCs w:val="16"/>
        </w:rPr>
        <w:footnoteRef/>
      </w:r>
      <w:r w:rsidRPr="00A829C7">
        <w:rPr>
          <w:rFonts w:ascii="Arial" w:hAnsi="Arial" w:cs="Arial"/>
          <w:sz w:val="16"/>
          <w:szCs w:val="16"/>
        </w:rPr>
        <w:t xml:space="preserve"> Figures collect informal employment in formalised enterprises but do not capture all the informal employment. ILO (2001) and </w:t>
      </w:r>
      <w:proofErr w:type="spellStart"/>
      <w:r w:rsidRPr="00A829C7">
        <w:rPr>
          <w:rFonts w:ascii="Arial" w:hAnsi="Arial" w:cs="Arial"/>
          <w:sz w:val="16"/>
          <w:szCs w:val="16"/>
        </w:rPr>
        <w:t>Pais</w:t>
      </w:r>
      <w:proofErr w:type="spellEnd"/>
      <w:r w:rsidRPr="00A829C7">
        <w:rPr>
          <w:rFonts w:ascii="Arial" w:hAnsi="Arial" w:cs="Arial"/>
          <w:sz w:val="16"/>
          <w:szCs w:val="16"/>
        </w:rPr>
        <w:t>, J. (2002).</w:t>
      </w:r>
    </w:p>
  </w:footnote>
  <w:footnote w:id="23">
    <w:p w14:paraId="56A4E351" w14:textId="77777777" w:rsidR="006A62B6" w:rsidRPr="00A829C7" w:rsidRDefault="006A62B6" w:rsidP="007F1614">
      <w:pPr>
        <w:pStyle w:val="FootnoteText"/>
        <w:rPr>
          <w:rFonts w:ascii="Arial" w:hAnsi="Arial" w:cs="Arial"/>
          <w:sz w:val="16"/>
          <w:szCs w:val="16"/>
        </w:rPr>
      </w:pPr>
      <w:r w:rsidRPr="00A829C7">
        <w:rPr>
          <w:rStyle w:val="FootnoteReference"/>
          <w:rFonts w:ascii="Arial" w:hAnsi="Arial" w:cs="Arial"/>
          <w:sz w:val="16"/>
          <w:szCs w:val="16"/>
        </w:rPr>
        <w:footnoteRef/>
      </w:r>
      <w:r w:rsidRPr="00A829C7">
        <w:rPr>
          <w:rFonts w:ascii="Arial" w:hAnsi="Arial" w:cs="Arial"/>
          <w:sz w:val="16"/>
          <w:szCs w:val="16"/>
        </w:rPr>
        <w:t xml:space="preserve"> High female participation in Sierra Leone may be partially explained by a strong labour movement with high union density and collective bargaining</w:t>
      </w:r>
    </w:p>
  </w:footnote>
  <w:footnote w:id="24">
    <w:p w14:paraId="0EB18D4B" w14:textId="77777777" w:rsidR="006A62B6" w:rsidRPr="008C657C" w:rsidRDefault="006A62B6" w:rsidP="007F1614">
      <w:pPr>
        <w:pStyle w:val="FootnoteText"/>
      </w:pPr>
      <w:r w:rsidRPr="00A829C7">
        <w:rPr>
          <w:rStyle w:val="FootnoteReference"/>
          <w:rFonts w:ascii="Arial" w:hAnsi="Arial" w:cs="Arial"/>
          <w:sz w:val="16"/>
          <w:szCs w:val="16"/>
        </w:rPr>
        <w:footnoteRef/>
      </w:r>
      <w:r w:rsidRPr="00A829C7">
        <w:rPr>
          <w:rFonts w:ascii="Arial" w:hAnsi="Arial" w:cs="Arial"/>
          <w:sz w:val="16"/>
          <w:szCs w:val="16"/>
        </w:rPr>
        <w:t xml:space="preserve"> </w:t>
      </w:r>
      <w:r w:rsidRPr="008C657C">
        <w:rPr>
          <w:rFonts w:ascii="Arial" w:hAnsi="Arial" w:cs="Arial"/>
          <w:sz w:val="16"/>
          <w:szCs w:val="16"/>
        </w:rPr>
        <w:t>NPR (2013).</w:t>
      </w:r>
    </w:p>
  </w:footnote>
  <w:footnote w:id="25">
    <w:p w14:paraId="4C863B2E" w14:textId="77777777" w:rsidR="006A62B6" w:rsidRPr="00EA15D0" w:rsidRDefault="006A62B6" w:rsidP="007F1614">
      <w:pPr>
        <w:pStyle w:val="FootnoteText"/>
        <w:rPr>
          <w:rFonts w:ascii="Arial" w:hAnsi="Arial" w:cs="Arial"/>
          <w:sz w:val="16"/>
          <w:szCs w:val="16"/>
        </w:rPr>
      </w:pPr>
      <w:r w:rsidRPr="00EA15D0">
        <w:rPr>
          <w:rStyle w:val="FootnoteReference"/>
          <w:rFonts w:ascii="Arial" w:hAnsi="Arial" w:cs="Arial"/>
          <w:sz w:val="16"/>
          <w:szCs w:val="16"/>
        </w:rPr>
        <w:footnoteRef/>
      </w:r>
      <w:r>
        <w:rPr>
          <w:rFonts w:ascii="Arial" w:hAnsi="Arial" w:cs="Arial"/>
          <w:sz w:val="16"/>
          <w:szCs w:val="16"/>
        </w:rPr>
        <w:t xml:space="preserve"> ILO (2015c)</w:t>
      </w:r>
    </w:p>
  </w:footnote>
  <w:footnote w:id="26">
    <w:p w14:paraId="549931BF" w14:textId="77777777" w:rsidR="006A62B6" w:rsidRPr="00095C14" w:rsidRDefault="006A62B6" w:rsidP="00095C14">
      <w:pPr>
        <w:pStyle w:val="FootnoteText"/>
      </w:pPr>
      <w:r w:rsidRPr="00987F10">
        <w:rPr>
          <w:rStyle w:val="FootnoteReference"/>
          <w:sz w:val="16"/>
        </w:rPr>
        <w:footnoteRef/>
      </w:r>
      <w:r w:rsidRPr="00987F10">
        <w:rPr>
          <w:sz w:val="16"/>
        </w:rPr>
        <w:t xml:space="preserve"> </w:t>
      </w:r>
      <w:r>
        <w:rPr>
          <w:rFonts w:ascii="Arial" w:hAnsi="Arial" w:cs="Arial"/>
          <w:sz w:val="16"/>
          <w:szCs w:val="16"/>
        </w:rPr>
        <w:t>Wells (2006)</w:t>
      </w:r>
    </w:p>
  </w:footnote>
  <w:footnote w:id="27">
    <w:p w14:paraId="141644A8" w14:textId="77777777" w:rsidR="006A62B6" w:rsidRPr="00EA15D0" w:rsidRDefault="006A62B6" w:rsidP="003A6064">
      <w:pPr>
        <w:pStyle w:val="FootnoteText"/>
        <w:rPr>
          <w:rFonts w:ascii="Arial" w:hAnsi="Arial" w:cs="Arial"/>
          <w:sz w:val="16"/>
          <w:szCs w:val="16"/>
        </w:rPr>
      </w:pPr>
      <w:r w:rsidRPr="00EA15D0">
        <w:rPr>
          <w:rStyle w:val="FootnoteReference"/>
          <w:rFonts w:ascii="Arial" w:hAnsi="Arial" w:cs="Arial"/>
          <w:sz w:val="16"/>
          <w:szCs w:val="16"/>
        </w:rPr>
        <w:footnoteRef/>
      </w:r>
      <w:r w:rsidRPr="00EA15D0">
        <w:rPr>
          <w:rFonts w:ascii="Arial" w:hAnsi="Arial" w:cs="Arial"/>
          <w:sz w:val="16"/>
          <w:szCs w:val="16"/>
        </w:rPr>
        <w:t xml:space="preserve"> ILO (2015</w:t>
      </w:r>
      <w:r>
        <w:rPr>
          <w:rFonts w:ascii="Arial" w:hAnsi="Arial" w:cs="Arial"/>
          <w:sz w:val="16"/>
          <w:szCs w:val="16"/>
        </w:rPr>
        <w:t>c)</w:t>
      </w:r>
    </w:p>
  </w:footnote>
  <w:footnote w:id="28">
    <w:p w14:paraId="35549375" w14:textId="77777777" w:rsidR="006A62B6" w:rsidRPr="00EA15D0" w:rsidRDefault="006A62B6" w:rsidP="003A6064">
      <w:pPr>
        <w:pStyle w:val="FootnoteText"/>
        <w:rPr>
          <w:rFonts w:ascii="Arial" w:hAnsi="Arial" w:cs="Arial"/>
          <w:sz w:val="16"/>
          <w:szCs w:val="16"/>
        </w:rPr>
      </w:pPr>
      <w:r w:rsidRPr="00EA15D0">
        <w:rPr>
          <w:rStyle w:val="FootnoteReference"/>
          <w:rFonts w:ascii="Arial" w:hAnsi="Arial" w:cs="Arial"/>
          <w:sz w:val="16"/>
          <w:szCs w:val="16"/>
        </w:rPr>
        <w:footnoteRef/>
      </w:r>
      <w:r>
        <w:rPr>
          <w:rFonts w:ascii="Arial" w:hAnsi="Arial" w:cs="Arial"/>
          <w:sz w:val="16"/>
          <w:szCs w:val="16"/>
        </w:rPr>
        <w:t xml:space="preserve"> ILO(2015d)</w:t>
      </w:r>
    </w:p>
  </w:footnote>
  <w:footnote w:id="29">
    <w:p w14:paraId="08A9D2B6" w14:textId="77777777" w:rsidR="006A62B6" w:rsidRPr="00D2601B" w:rsidRDefault="006A62B6" w:rsidP="003A6064">
      <w:pPr>
        <w:pStyle w:val="FootnoteText"/>
      </w:pPr>
      <w:r w:rsidRPr="00EA15D0">
        <w:rPr>
          <w:rStyle w:val="FootnoteReference"/>
          <w:rFonts w:ascii="Arial" w:hAnsi="Arial" w:cs="Arial"/>
          <w:sz w:val="16"/>
          <w:szCs w:val="16"/>
        </w:rPr>
        <w:footnoteRef/>
      </w:r>
      <w:r w:rsidRPr="00EA15D0">
        <w:rPr>
          <w:rFonts w:ascii="Arial" w:hAnsi="Arial" w:cs="Arial"/>
          <w:sz w:val="16"/>
          <w:szCs w:val="16"/>
        </w:rPr>
        <w:t xml:space="preserve"> </w:t>
      </w:r>
      <w:r>
        <w:rPr>
          <w:rFonts w:ascii="Arial" w:hAnsi="Arial" w:cs="Arial"/>
          <w:sz w:val="16"/>
          <w:szCs w:val="16"/>
        </w:rPr>
        <w:t>ILO Green Jobs Programme (2014)</w:t>
      </w:r>
    </w:p>
  </w:footnote>
  <w:footnote w:id="30">
    <w:p w14:paraId="76055679" w14:textId="77777777" w:rsidR="006A62B6" w:rsidRPr="00BD6EDC" w:rsidRDefault="006A62B6">
      <w:pPr>
        <w:pStyle w:val="FootnoteText"/>
        <w:rPr>
          <w:rFonts w:ascii="Arial" w:hAnsi="Arial" w:cs="Arial"/>
          <w:sz w:val="16"/>
        </w:rPr>
      </w:pPr>
      <w:r w:rsidRPr="00BD6EDC">
        <w:rPr>
          <w:rStyle w:val="FootnoteReference"/>
          <w:rFonts w:ascii="Arial" w:hAnsi="Arial" w:cs="Arial"/>
          <w:sz w:val="16"/>
        </w:rPr>
        <w:footnoteRef/>
      </w:r>
      <w:r w:rsidRPr="00BD6EDC">
        <w:rPr>
          <w:rFonts w:ascii="Arial" w:hAnsi="Arial" w:cs="Arial"/>
          <w:sz w:val="16"/>
        </w:rPr>
        <w:t xml:space="preserve"> The informal economy refers to all economic activities by workers and economic units that are – in law or in practice – not covered or insufficiently covered by formal arrangements</w:t>
      </w:r>
    </w:p>
  </w:footnote>
  <w:footnote w:id="31">
    <w:p w14:paraId="45D34F4D" w14:textId="77777777" w:rsidR="006A62B6" w:rsidRPr="00EA15D0" w:rsidRDefault="006A62B6" w:rsidP="003A6064">
      <w:pPr>
        <w:pStyle w:val="FootnoteText"/>
        <w:rPr>
          <w:rFonts w:ascii="Arial" w:hAnsi="Arial" w:cs="Arial"/>
          <w:sz w:val="16"/>
          <w:szCs w:val="16"/>
        </w:rPr>
      </w:pPr>
      <w:r w:rsidRPr="00EA15D0">
        <w:rPr>
          <w:rStyle w:val="FootnoteReference"/>
          <w:rFonts w:ascii="Arial" w:hAnsi="Arial" w:cs="Arial"/>
          <w:sz w:val="16"/>
          <w:szCs w:val="16"/>
        </w:rPr>
        <w:footnoteRef/>
      </w:r>
      <w:r w:rsidRPr="00EA15D0">
        <w:rPr>
          <w:rFonts w:ascii="Arial" w:hAnsi="Arial" w:cs="Arial"/>
          <w:sz w:val="16"/>
          <w:szCs w:val="16"/>
        </w:rPr>
        <w:t xml:space="preserve"> ILO (2009)</w:t>
      </w:r>
    </w:p>
  </w:footnote>
  <w:footnote w:id="32">
    <w:p w14:paraId="569613D0" w14:textId="77777777" w:rsidR="006A62B6" w:rsidRPr="00432BEF" w:rsidRDefault="006A62B6">
      <w:pPr>
        <w:pStyle w:val="FootnoteText"/>
        <w:rPr>
          <w:sz w:val="16"/>
          <w:szCs w:val="16"/>
          <w:lang w:val="es-ES"/>
        </w:rPr>
      </w:pPr>
      <w:r w:rsidRPr="00432BEF">
        <w:rPr>
          <w:rStyle w:val="FootnoteReference"/>
          <w:sz w:val="16"/>
          <w:szCs w:val="16"/>
        </w:rPr>
        <w:footnoteRef/>
      </w:r>
      <w:r w:rsidRPr="00432BEF">
        <w:rPr>
          <w:sz w:val="16"/>
          <w:szCs w:val="16"/>
        </w:rPr>
        <w:t xml:space="preserve"> </w:t>
      </w:r>
      <w:r w:rsidRPr="00432BEF">
        <w:rPr>
          <w:sz w:val="16"/>
          <w:szCs w:val="16"/>
          <w:lang w:val="es-ES"/>
        </w:rPr>
        <w:t>ILO (2013a).</w:t>
      </w:r>
    </w:p>
  </w:footnote>
  <w:footnote w:id="33">
    <w:p w14:paraId="56830068" w14:textId="77777777" w:rsidR="006A62B6" w:rsidRPr="00067D95" w:rsidRDefault="006A62B6" w:rsidP="003A6064">
      <w:pPr>
        <w:pStyle w:val="FootnoteText"/>
        <w:rPr>
          <w:rFonts w:ascii="Arial" w:hAnsi="Arial" w:cs="Arial"/>
          <w:sz w:val="16"/>
          <w:szCs w:val="16"/>
        </w:rPr>
      </w:pPr>
      <w:r w:rsidRPr="00067D95">
        <w:rPr>
          <w:rStyle w:val="FootnoteReference"/>
          <w:rFonts w:ascii="Arial" w:hAnsi="Arial" w:cs="Arial"/>
          <w:sz w:val="16"/>
          <w:szCs w:val="16"/>
        </w:rPr>
        <w:footnoteRef/>
      </w:r>
      <w:r w:rsidRPr="00067D95">
        <w:rPr>
          <w:rFonts w:ascii="Arial" w:hAnsi="Arial" w:cs="Arial"/>
          <w:sz w:val="16"/>
          <w:szCs w:val="16"/>
        </w:rPr>
        <w:t xml:space="preserve"> </w:t>
      </w:r>
      <w:r>
        <w:rPr>
          <w:rFonts w:ascii="Arial" w:hAnsi="Arial" w:cs="Arial"/>
          <w:sz w:val="16"/>
          <w:szCs w:val="16"/>
        </w:rPr>
        <w:t>Wells (2007)</w:t>
      </w:r>
    </w:p>
  </w:footnote>
  <w:footnote w:id="34">
    <w:p w14:paraId="7AB37A8E" w14:textId="77777777" w:rsidR="006A62B6" w:rsidRPr="00EA15D0" w:rsidRDefault="006A62B6" w:rsidP="003A6064">
      <w:pPr>
        <w:pStyle w:val="FootnoteText"/>
        <w:rPr>
          <w:rFonts w:ascii="Arial" w:hAnsi="Arial" w:cs="Arial"/>
          <w:sz w:val="16"/>
          <w:szCs w:val="16"/>
        </w:rPr>
      </w:pPr>
      <w:r w:rsidRPr="00EA15D0">
        <w:rPr>
          <w:rStyle w:val="FootnoteReference"/>
          <w:rFonts w:ascii="Arial" w:hAnsi="Arial" w:cs="Arial"/>
          <w:sz w:val="16"/>
          <w:szCs w:val="16"/>
        </w:rPr>
        <w:footnoteRef/>
      </w:r>
      <w:r>
        <w:rPr>
          <w:rFonts w:ascii="Arial" w:hAnsi="Arial" w:cs="Arial"/>
          <w:sz w:val="16"/>
          <w:szCs w:val="16"/>
        </w:rPr>
        <w:t xml:space="preserve">  ILO (2001)</w:t>
      </w:r>
    </w:p>
  </w:footnote>
  <w:footnote w:id="35">
    <w:p w14:paraId="5271A58D" w14:textId="77777777" w:rsidR="006A62B6" w:rsidRPr="00EA15D0"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sidRPr="00EA15D0">
        <w:rPr>
          <w:rFonts w:ascii="Arial" w:hAnsi="Arial" w:cs="Arial"/>
          <w:sz w:val="16"/>
          <w:szCs w:val="16"/>
        </w:rPr>
        <w:t xml:space="preserve"> KPMG, &amp;</w:t>
      </w:r>
      <w:r>
        <w:rPr>
          <w:rFonts w:ascii="Arial" w:hAnsi="Arial" w:cs="Arial"/>
          <w:sz w:val="16"/>
          <w:szCs w:val="16"/>
        </w:rPr>
        <w:t xml:space="preserve"> Armstrong, G. (2015)</w:t>
      </w:r>
    </w:p>
  </w:footnote>
  <w:footnote w:id="36">
    <w:p w14:paraId="6CE8F7C0" w14:textId="77777777" w:rsidR="006A62B6" w:rsidRPr="00EA15D0"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sidRPr="00EA15D0">
        <w:rPr>
          <w:rFonts w:ascii="Arial" w:hAnsi="Arial" w:cs="Arial"/>
          <w:sz w:val="16"/>
          <w:szCs w:val="16"/>
        </w:rPr>
        <w:t xml:space="preserve"> 41 per cent of Indian labour migrants across the world work in the construction sector, mostly in the Middle East bu</w:t>
      </w:r>
      <w:r>
        <w:rPr>
          <w:rFonts w:ascii="Arial" w:hAnsi="Arial" w:cs="Arial"/>
          <w:sz w:val="16"/>
          <w:szCs w:val="16"/>
        </w:rPr>
        <w:t xml:space="preserve">t also in Asia and the Pacific. Source: </w:t>
      </w:r>
      <w:r w:rsidRPr="00EA15D0">
        <w:rPr>
          <w:rFonts w:ascii="Arial" w:hAnsi="Arial" w:cs="Arial"/>
          <w:sz w:val="16"/>
          <w:szCs w:val="16"/>
        </w:rPr>
        <w:t xml:space="preserve">Grant </w:t>
      </w:r>
      <w:proofErr w:type="spellStart"/>
      <w:r w:rsidRPr="00EA15D0">
        <w:rPr>
          <w:rFonts w:ascii="Arial" w:hAnsi="Arial" w:cs="Arial"/>
          <w:sz w:val="16"/>
          <w:szCs w:val="16"/>
        </w:rPr>
        <w:t>Thorton</w:t>
      </w:r>
      <w:proofErr w:type="spellEnd"/>
      <w:r w:rsidRPr="00EA15D0">
        <w:rPr>
          <w:rFonts w:ascii="Arial" w:hAnsi="Arial" w:cs="Arial"/>
          <w:sz w:val="16"/>
          <w:szCs w:val="16"/>
        </w:rPr>
        <w:t xml:space="preserve"> India (2016).</w:t>
      </w:r>
    </w:p>
  </w:footnote>
  <w:footnote w:id="37">
    <w:p w14:paraId="40755F4F" w14:textId="77777777" w:rsidR="006A62B6"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Pr>
          <w:rFonts w:ascii="Arial" w:hAnsi="Arial" w:cs="Arial"/>
          <w:sz w:val="16"/>
          <w:szCs w:val="16"/>
        </w:rPr>
        <w:t xml:space="preserve"> ILO (2016).</w:t>
      </w:r>
    </w:p>
    <w:p w14:paraId="71D63C87" w14:textId="77777777" w:rsidR="006A62B6" w:rsidRPr="00EA15D0" w:rsidRDefault="006A62B6" w:rsidP="008632F2">
      <w:pPr>
        <w:pStyle w:val="FootnoteText"/>
        <w:rPr>
          <w:rFonts w:ascii="Arial" w:hAnsi="Arial" w:cs="Arial"/>
          <w:sz w:val="16"/>
          <w:szCs w:val="16"/>
        </w:rPr>
      </w:pPr>
      <w:r w:rsidRPr="00EA15D0">
        <w:rPr>
          <w:rFonts w:ascii="Arial" w:hAnsi="Arial" w:cs="Arial"/>
          <w:sz w:val="16"/>
          <w:szCs w:val="16"/>
        </w:rPr>
        <w:t>Offsite construction is a phenomenon that can until a certain extent reduce the effects of the spatial characteristics of construction. In countrie</w:t>
      </w:r>
      <w:r>
        <w:rPr>
          <w:rFonts w:ascii="Arial" w:hAnsi="Arial" w:cs="Arial"/>
          <w:sz w:val="16"/>
          <w:szCs w:val="16"/>
        </w:rPr>
        <w:t xml:space="preserve">s like UK, Japan and Australia. Source: </w:t>
      </w:r>
      <w:r w:rsidRPr="00EA15D0">
        <w:rPr>
          <w:rFonts w:ascii="Arial" w:hAnsi="Arial" w:cs="Arial"/>
          <w:sz w:val="16"/>
          <w:szCs w:val="16"/>
        </w:rPr>
        <w:t>Taylor</w:t>
      </w:r>
      <w:r>
        <w:rPr>
          <w:rFonts w:ascii="Arial" w:hAnsi="Arial" w:cs="Arial"/>
          <w:sz w:val="16"/>
          <w:szCs w:val="16"/>
        </w:rPr>
        <w:t xml:space="preserve"> (</w:t>
      </w:r>
      <w:r w:rsidRPr="00EA15D0">
        <w:rPr>
          <w:rFonts w:ascii="Arial" w:hAnsi="Arial" w:cs="Arial"/>
          <w:sz w:val="16"/>
          <w:szCs w:val="16"/>
        </w:rPr>
        <w:t>2009</w:t>
      </w:r>
      <w:r>
        <w:rPr>
          <w:rFonts w:ascii="Arial" w:hAnsi="Arial" w:cs="Arial"/>
          <w:sz w:val="16"/>
          <w:szCs w:val="16"/>
        </w:rPr>
        <w:t>).</w:t>
      </w:r>
    </w:p>
  </w:footnote>
  <w:footnote w:id="38">
    <w:p w14:paraId="42DCF749" w14:textId="77777777" w:rsidR="006A62B6" w:rsidRPr="00EA15D0"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Pr>
          <w:rFonts w:ascii="Arial" w:hAnsi="Arial" w:cs="Arial"/>
          <w:sz w:val="16"/>
          <w:szCs w:val="16"/>
        </w:rPr>
        <w:t xml:space="preserve"> ILO (2016).</w:t>
      </w:r>
    </w:p>
  </w:footnote>
  <w:footnote w:id="39">
    <w:p w14:paraId="32078942" w14:textId="77777777" w:rsidR="006A62B6" w:rsidRPr="00EA15D0"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sidRPr="00EA15D0">
        <w:rPr>
          <w:rFonts w:ascii="Arial" w:hAnsi="Arial" w:cs="Arial"/>
          <w:sz w:val="16"/>
          <w:szCs w:val="16"/>
        </w:rPr>
        <w:t xml:space="preserve"> The temporary and constantly changing number of  construction projects means that large contractors need to constantly shift workers from on</w:t>
      </w:r>
      <w:r>
        <w:rPr>
          <w:rFonts w:ascii="Arial" w:hAnsi="Arial" w:cs="Arial"/>
          <w:sz w:val="16"/>
          <w:szCs w:val="16"/>
        </w:rPr>
        <w:t>e site (or country) to another Source: Wells (</w:t>
      </w:r>
      <w:r w:rsidRPr="00EA15D0">
        <w:rPr>
          <w:rFonts w:ascii="Arial" w:hAnsi="Arial" w:cs="Arial"/>
          <w:sz w:val="16"/>
          <w:szCs w:val="16"/>
        </w:rPr>
        <w:t>1996</w:t>
      </w:r>
      <w:r>
        <w:rPr>
          <w:rFonts w:ascii="Arial" w:hAnsi="Arial" w:cs="Arial"/>
          <w:sz w:val="16"/>
          <w:szCs w:val="16"/>
        </w:rPr>
        <w:t>).</w:t>
      </w:r>
    </w:p>
  </w:footnote>
  <w:footnote w:id="40">
    <w:p w14:paraId="6629655E" w14:textId="77777777" w:rsidR="006A62B6" w:rsidRPr="00EA15D0"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Pr>
          <w:rFonts w:ascii="Arial" w:hAnsi="Arial" w:cs="Arial"/>
          <w:sz w:val="16"/>
          <w:szCs w:val="16"/>
        </w:rPr>
        <w:t xml:space="preserve"> ILO (2016)</w:t>
      </w:r>
    </w:p>
  </w:footnote>
  <w:footnote w:id="41">
    <w:p w14:paraId="5D22B06C" w14:textId="77777777" w:rsidR="006A62B6" w:rsidRPr="00EA15D0"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Pr>
          <w:rFonts w:ascii="Arial" w:hAnsi="Arial" w:cs="Arial"/>
          <w:sz w:val="16"/>
          <w:szCs w:val="16"/>
        </w:rPr>
        <w:t xml:space="preserve"> Dollar (2016)</w:t>
      </w:r>
    </w:p>
  </w:footnote>
  <w:footnote w:id="42">
    <w:p w14:paraId="16D700F2" w14:textId="77777777" w:rsidR="006A62B6" w:rsidRPr="00EA15D0"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sidRPr="00EA15D0">
        <w:rPr>
          <w:rFonts w:ascii="Arial" w:hAnsi="Arial" w:cs="Arial"/>
          <w:sz w:val="16"/>
          <w:szCs w:val="16"/>
        </w:rPr>
        <w:t xml:space="preserve"> ILO (2015</w:t>
      </w:r>
      <w:r>
        <w:rPr>
          <w:rFonts w:ascii="Arial" w:hAnsi="Arial" w:cs="Arial"/>
          <w:sz w:val="16"/>
          <w:szCs w:val="16"/>
        </w:rPr>
        <w:t>c)</w:t>
      </w:r>
    </w:p>
  </w:footnote>
  <w:footnote w:id="43">
    <w:p w14:paraId="514BF1FF" w14:textId="77777777" w:rsidR="006A62B6" w:rsidRPr="00EA15D0"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sidRPr="00EA15D0">
        <w:rPr>
          <w:rFonts w:ascii="Arial" w:hAnsi="Arial" w:cs="Arial"/>
          <w:sz w:val="16"/>
          <w:szCs w:val="16"/>
        </w:rPr>
        <w:t xml:space="preserve"> ILO (2015</w:t>
      </w:r>
      <w:r>
        <w:rPr>
          <w:rFonts w:ascii="Arial" w:hAnsi="Arial" w:cs="Arial"/>
          <w:sz w:val="16"/>
          <w:szCs w:val="16"/>
        </w:rPr>
        <w:t>c) and Dong (</w:t>
      </w:r>
      <w:r w:rsidRPr="00EA15D0">
        <w:rPr>
          <w:rFonts w:ascii="Arial" w:hAnsi="Arial" w:cs="Arial"/>
          <w:sz w:val="16"/>
          <w:szCs w:val="16"/>
        </w:rPr>
        <w:t>2005</w:t>
      </w:r>
      <w:r>
        <w:rPr>
          <w:rFonts w:ascii="Arial" w:hAnsi="Arial" w:cs="Arial"/>
          <w:sz w:val="16"/>
          <w:szCs w:val="16"/>
        </w:rPr>
        <w:t>)</w:t>
      </w:r>
    </w:p>
  </w:footnote>
  <w:footnote w:id="44">
    <w:p w14:paraId="698F924F" w14:textId="77777777" w:rsidR="006A62B6" w:rsidRPr="00693EAF" w:rsidRDefault="006A62B6" w:rsidP="008632F2">
      <w:pPr>
        <w:pStyle w:val="FootnoteText"/>
        <w:rPr>
          <w:rFonts w:ascii="Arial" w:hAnsi="Arial" w:cs="Arial"/>
          <w:sz w:val="16"/>
          <w:szCs w:val="16"/>
        </w:rPr>
      </w:pPr>
      <w:r w:rsidRPr="00693EAF">
        <w:rPr>
          <w:rStyle w:val="FootnoteReference"/>
          <w:rFonts w:ascii="Arial" w:hAnsi="Arial" w:cs="Arial"/>
          <w:sz w:val="16"/>
          <w:szCs w:val="16"/>
        </w:rPr>
        <w:footnoteRef/>
      </w:r>
      <w:r w:rsidRPr="00693EAF">
        <w:rPr>
          <w:rFonts w:ascii="Arial" w:hAnsi="Arial" w:cs="Arial"/>
          <w:sz w:val="16"/>
          <w:szCs w:val="16"/>
        </w:rPr>
        <w:t xml:space="preserve"> Patel and </w:t>
      </w:r>
      <w:proofErr w:type="spellStart"/>
      <w:r w:rsidRPr="00693EAF">
        <w:rPr>
          <w:rFonts w:ascii="Arial" w:hAnsi="Arial" w:cs="Arial"/>
          <w:sz w:val="16"/>
          <w:szCs w:val="16"/>
        </w:rPr>
        <w:t>Jha</w:t>
      </w:r>
      <w:proofErr w:type="spellEnd"/>
      <w:r w:rsidRPr="00693EAF">
        <w:rPr>
          <w:rFonts w:ascii="Arial" w:hAnsi="Arial" w:cs="Arial"/>
          <w:sz w:val="16"/>
          <w:szCs w:val="16"/>
        </w:rPr>
        <w:t xml:space="preserve"> (2016)</w:t>
      </w:r>
    </w:p>
  </w:footnote>
  <w:footnote w:id="45">
    <w:p w14:paraId="43ECD643" w14:textId="77777777" w:rsidR="006A62B6" w:rsidRPr="00693EAF" w:rsidRDefault="006A62B6">
      <w:pPr>
        <w:pStyle w:val="FootnoteText"/>
      </w:pPr>
      <w:r w:rsidRPr="00693EAF">
        <w:rPr>
          <w:rStyle w:val="FootnoteReference"/>
          <w:rFonts w:ascii="Arial" w:hAnsi="Arial" w:cs="Arial"/>
          <w:sz w:val="16"/>
          <w:szCs w:val="16"/>
        </w:rPr>
        <w:footnoteRef/>
      </w:r>
      <w:r w:rsidRPr="00693EAF">
        <w:rPr>
          <w:rFonts w:ascii="Arial" w:hAnsi="Arial" w:cs="Arial"/>
          <w:sz w:val="16"/>
          <w:szCs w:val="16"/>
        </w:rPr>
        <w:t xml:space="preserve"> There are 60,000 fatal occupational injuries and 273 million construction workers</w:t>
      </w:r>
      <w:r>
        <w:rPr>
          <w:rFonts w:ascii="Arial" w:hAnsi="Arial" w:cs="Arial"/>
          <w:sz w:val="16"/>
          <w:szCs w:val="16"/>
        </w:rPr>
        <w:t>, ILO(2015C)</w:t>
      </w:r>
    </w:p>
  </w:footnote>
  <w:footnote w:id="46">
    <w:p w14:paraId="6FE4A1F4" w14:textId="77777777" w:rsidR="006A62B6" w:rsidRPr="00257ED4" w:rsidRDefault="006A62B6" w:rsidP="008632F2">
      <w:pPr>
        <w:pStyle w:val="FootnoteText"/>
        <w:rPr>
          <w:rFonts w:ascii="Arial" w:hAnsi="Arial" w:cs="Arial"/>
          <w:sz w:val="16"/>
          <w:szCs w:val="16"/>
        </w:rPr>
      </w:pPr>
      <w:r w:rsidRPr="003B5B06">
        <w:rPr>
          <w:rStyle w:val="FootnoteReference"/>
          <w:rFonts w:ascii="Arial" w:hAnsi="Arial" w:cs="Arial"/>
          <w:sz w:val="16"/>
          <w:szCs w:val="16"/>
        </w:rPr>
        <w:footnoteRef/>
      </w:r>
      <w:r>
        <w:rPr>
          <w:rFonts w:ascii="Arial" w:hAnsi="Arial" w:cs="Arial"/>
          <w:sz w:val="16"/>
          <w:szCs w:val="16"/>
        </w:rPr>
        <w:t xml:space="preserve"> Weeks (2011) </w:t>
      </w:r>
    </w:p>
  </w:footnote>
  <w:footnote w:id="47">
    <w:p w14:paraId="3125F0C6" w14:textId="77777777" w:rsidR="006A62B6" w:rsidRPr="001C7A88" w:rsidRDefault="006A62B6" w:rsidP="008632F2">
      <w:pPr>
        <w:pStyle w:val="FootnoteText"/>
      </w:pPr>
      <w:r w:rsidRPr="003B5B06">
        <w:rPr>
          <w:rStyle w:val="FootnoteReference"/>
          <w:rFonts w:ascii="Arial" w:hAnsi="Arial" w:cs="Arial"/>
          <w:sz w:val="16"/>
          <w:szCs w:val="16"/>
        </w:rPr>
        <w:footnoteRef/>
      </w:r>
      <w:r w:rsidRPr="003B5B06">
        <w:rPr>
          <w:rFonts w:ascii="Arial" w:hAnsi="Arial" w:cs="Arial"/>
          <w:sz w:val="16"/>
          <w:szCs w:val="16"/>
        </w:rPr>
        <w:t xml:space="preserve"> Weeks</w:t>
      </w:r>
      <w:r>
        <w:rPr>
          <w:rFonts w:ascii="Arial" w:hAnsi="Arial" w:cs="Arial"/>
          <w:sz w:val="16"/>
          <w:szCs w:val="16"/>
        </w:rPr>
        <w:t xml:space="preserve"> (2011)</w:t>
      </w:r>
    </w:p>
  </w:footnote>
  <w:footnote w:id="48">
    <w:p w14:paraId="17929B66" w14:textId="77777777" w:rsidR="006A62B6" w:rsidRPr="00EA15D0" w:rsidRDefault="006A62B6" w:rsidP="00A72B87">
      <w:pPr>
        <w:pStyle w:val="FootnoteText"/>
        <w:rPr>
          <w:rFonts w:ascii="Arial" w:hAnsi="Arial" w:cs="Arial"/>
          <w:sz w:val="16"/>
          <w:szCs w:val="16"/>
        </w:rPr>
      </w:pPr>
      <w:r w:rsidRPr="00EA15D0">
        <w:rPr>
          <w:rStyle w:val="FootnoteReference"/>
          <w:rFonts w:ascii="Arial" w:hAnsi="Arial" w:cs="Arial"/>
          <w:sz w:val="16"/>
          <w:szCs w:val="16"/>
        </w:rPr>
        <w:footnoteRef/>
      </w:r>
      <w:r w:rsidRPr="00EA15D0">
        <w:rPr>
          <w:rFonts w:ascii="Arial" w:hAnsi="Arial" w:cs="Arial"/>
          <w:sz w:val="16"/>
          <w:szCs w:val="16"/>
        </w:rPr>
        <w:t>On the other hand, only about 1.4 per cent of women in India´s construction sector work in technical positions such as engineers or archite</w:t>
      </w:r>
      <w:r>
        <w:rPr>
          <w:rFonts w:ascii="Arial" w:hAnsi="Arial" w:cs="Arial"/>
          <w:sz w:val="16"/>
          <w:szCs w:val="16"/>
        </w:rPr>
        <w:t xml:space="preserve">cts.  Source: Patel and </w:t>
      </w:r>
      <w:proofErr w:type="spellStart"/>
      <w:r>
        <w:rPr>
          <w:rFonts w:ascii="Arial" w:hAnsi="Arial" w:cs="Arial"/>
          <w:sz w:val="16"/>
          <w:szCs w:val="16"/>
        </w:rPr>
        <w:t>Pitroda</w:t>
      </w:r>
      <w:proofErr w:type="spellEnd"/>
      <w:r>
        <w:rPr>
          <w:rFonts w:ascii="Arial" w:hAnsi="Arial" w:cs="Arial"/>
          <w:sz w:val="16"/>
          <w:szCs w:val="16"/>
        </w:rPr>
        <w:t xml:space="preserve"> (2016).</w:t>
      </w:r>
    </w:p>
  </w:footnote>
  <w:footnote w:id="49">
    <w:p w14:paraId="6E6045C2" w14:textId="77777777" w:rsidR="006A62B6" w:rsidRPr="00EA15D0" w:rsidRDefault="006A62B6" w:rsidP="00A72B87">
      <w:pPr>
        <w:pStyle w:val="FootnoteText"/>
        <w:rPr>
          <w:rFonts w:ascii="Arial" w:hAnsi="Arial" w:cs="Arial"/>
          <w:sz w:val="16"/>
          <w:szCs w:val="16"/>
        </w:rPr>
      </w:pPr>
      <w:r w:rsidRPr="001E6710">
        <w:rPr>
          <w:rStyle w:val="FootnoteReference"/>
          <w:rFonts w:ascii="Arial" w:hAnsi="Arial" w:cs="Arial"/>
          <w:sz w:val="16"/>
          <w:szCs w:val="16"/>
        </w:rPr>
        <w:footnoteRef/>
      </w:r>
      <w:r w:rsidRPr="001E6710">
        <w:rPr>
          <w:rStyle w:val="FootnoteReference"/>
        </w:rPr>
        <w:t xml:space="preserve"> </w:t>
      </w:r>
      <w:proofErr w:type="spellStart"/>
      <w:r>
        <w:rPr>
          <w:rFonts w:ascii="Arial" w:hAnsi="Arial" w:cs="Arial"/>
          <w:sz w:val="16"/>
          <w:szCs w:val="16"/>
        </w:rPr>
        <w:t>Kalpana</w:t>
      </w:r>
      <w:proofErr w:type="spellEnd"/>
      <w:r>
        <w:rPr>
          <w:rFonts w:ascii="Arial" w:hAnsi="Arial" w:cs="Arial"/>
          <w:sz w:val="16"/>
          <w:szCs w:val="16"/>
        </w:rPr>
        <w:t xml:space="preserve"> and Kiran (2013)</w:t>
      </w:r>
    </w:p>
  </w:footnote>
  <w:footnote w:id="50">
    <w:p w14:paraId="7E611C08" w14:textId="77777777" w:rsidR="006A62B6" w:rsidRPr="001E6710" w:rsidRDefault="006A62B6" w:rsidP="00A72B87">
      <w:pPr>
        <w:pStyle w:val="FootnoteText"/>
        <w:rPr>
          <w:rFonts w:ascii="Arial" w:hAnsi="Arial" w:cs="Arial"/>
          <w:sz w:val="16"/>
          <w:szCs w:val="16"/>
        </w:rPr>
      </w:pPr>
      <w:r w:rsidRPr="001E6710">
        <w:rPr>
          <w:rStyle w:val="FootnoteReference"/>
          <w:rFonts w:ascii="Arial" w:hAnsi="Arial" w:cs="Arial"/>
          <w:sz w:val="16"/>
          <w:szCs w:val="16"/>
        </w:rPr>
        <w:footnoteRef/>
      </w:r>
      <w:r w:rsidRPr="001E6710">
        <w:rPr>
          <w:rStyle w:val="FootnoteReference"/>
        </w:rPr>
        <w:t xml:space="preserve"> </w:t>
      </w:r>
      <w:r>
        <w:rPr>
          <w:rFonts w:ascii="Arial" w:hAnsi="Arial" w:cs="Arial"/>
          <w:sz w:val="16"/>
          <w:szCs w:val="16"/>
        </w:rPr>
        <w:t>Jason</w:t>
      </w:r>
      <w:r w:rsidRPr="00EA15D0">
        <w:rPr>
          <w:rFonts w:ascii="Arial" w:hAnsi="Arial" w:cs="Arial"/>
          <w:sz w:val="16"/>
          <w:szCs w:val="16"/>
        </w:rPr>
        <w:t xml:space="preserve"> </w:t>
      </w:r>
      <w:r>
        <w:rPr>
          <w:rFonts w:ascii="Arial" w:hAnsi="Arial" w:cs="Arial"/>
          <w:sz w:val="16"/>
          <w:szCs w:val="16"/>
        </w:rPr>
        <w:t>(</w:t>
      </w:r>
      <w:r w:rsidRPr="00EA15D0">
        <w:rPr>
          <w:rFonts w:ascii="Arial" w:hAnsi="Arial" w:cs="Arial"/>
          <w:sz w:val="16"/>
          <w:szCs w:val="16"/>
        </w:rPr>
        <w:t>2005</w:t>
      </w:r>
      <w:r>
        <w:rPr>
          <w:rFonts w:ascii="Arial" w:hAnsi="Arial" w:cs="Arial"/>
          <w:sz w:val="16"/>
          <w:szCs w:val="16"/>
        </w:rPr>
        <w:t>)</w:t>
      </w:r>
    </w:p>
  </w:footnote>
  <w:footnote w:id="51">
    <w:p w14:paraId="6E7D6925" w14:textId="77777777" w:rsidR="006A62B6" w:rsidRPr="008F4768" w:rsidRDefault="006A62B6" w:rsidP="00A72B87">
      <w:pPr>
        <w:pStyle w:val="FootnoteText"/>
        <w:rPr>
          <w:rFonts w:ascii="Arial" w:hAnsi="Arial" w:cs="Arial"/>
          <w:sz w:val="16"/>
          <w:szCs w:val="16"/>
        </w:rPr>
      </w:pPr>
      <w:r w:rsidRPr="008F4768">
        <w:rPr>
          <w:rFonts w:ascii="Arial" w:hAnsi="Arial" w:cs="Arial"/>
          <w:sz w:val="16"/>
          <w:szCs w:val="16"/>
          <w:vertAlign w:val="superscript"/>
        </w:rPr>
        <w:t>47</w:t>
      </w:r>
      <w:r>
        <w:rPr>
          <w:rFonts w:ascii="Arial" w:hAnsi="Arial" w:cs="Arial"/>
          <w:sz w:val="16"/>
          <w:szCs w:val="16"/>
        </w:rPr>
        <w:t xml:space="preserve"> </w:t>
      </w:r>
      <w:proofErr w:type="spellStart"/>
      <w:r>
        <w:rPr>
          <w:rFonts w:ascii="Arial" w:hAnsi="Arial" w:cs="Arial"/>
          <w:sz w:val="16"/>
          <w:szCs w:val="16"/>
        </w:rPr>
        <w:t>Madhok</w:t>
      </w:r>
      <w:proofErr w:type="spellEnd"/>
      <w:r>
        <w:rPr>
          <w:rFonts w:ascii="Arial" w:hAnsi="Arial" w:cs="Arial"/>
          <w:sz w:val="16"/>
          <w:szCs w:val="16"/>
        </w:rPr>
        <w:t xml:space="preserve"> (2005)</w:t>
      </w:r>
    </w:p>
  </w:footnote>
  <w:footnote w:id="52">
    <w:p w14:paraId="5C37B596" w14:textId="77777777" w:rsidR="006A62B6" w:rsidRPr="00EA15D0" w:rsidRDefault="006A62B6" w:rsidP="00A72B87">
      <w:pPr>
        <w:pStyle w:val="FootnoteText"/>
        <w:rPr>
          <w:rFonts w:ascii="Arial" w:hAnsi="Arial" w:cs="Arial"/>
          <w:sz w:val="16"/>
          <w:szCs w:val="16"/>
        </w:rPr>
      </w:pPr>
      <w:r w:rsidRPr="001E6710">
        <w:rPr>
          <w:rStyle w:val="FootnoteReference"/>
          <w:rFonts w:ascii="Arial" w:hAnsi="Arial" w:cs="Arial"/>
          <w:sz w:val="16"/>
          <w:szCs w:val="16"/>
        </w:rPr>
        <w:footnoteRef/>
      </w:r>
      <w:r w:rsidRPr="001E6710">
        <w:rPr>
          <w:rStyle w:val="FootnoteReference"/>
        </w:rPr>
        <w:t xml:space="preserve"> </w:t>
      </w:r>
      <w:r>
        <w:rPr>
          <w:rFonts w:ascii="Arial" w:hAnsi="Arial" w:cs="Arial"/>
          <w:sz w:val="16"/>
          <w:szCs w:val="16"/>
        </w:rPr>
        <w:t>ILO (2001)</w:t>
      </w:r>
    </w:p>
  </w:footnote>
  <w:footnote w:id="53">
    <w:p w14:paraId="603E3327" w14:textId="77777777" w:rsidR="006A62B6" w:rsidRPr="00EA15D0" w:rsidRDefault="006A62B6" w:rsidP="00A72B87">
      <w:pPr>
        <w:pStyle w:val="FootnoteText"/>
        <w:rPr>
          <w:rFonts w:ascii="Arial" w:hAnsi="Arial" w:cs="Arial"/>
          <w:sz w:val="16"/>
          <w:szCs w:val="16"/>
        </w:rPr>
      </w:pPr>
      <w:r w:rsidRPr="001E6710">
        <w:rPr>
          <w:rStyle w:val="FootnoteReference"/>
          <w:rFonts w:ascii="Arial" w:hAnsi="Arial" w:cs="Arial"/>
          <w:sz w:val="16"/>
          <w:szCs w:val="16"/>
        </w:rPr>
        <w:footnoteRef/>
      </w:r>
      <w:r w:rsidRPr="001E6710">
        <w:rPr>
          <w:rStyle w:val="FootnoteReference"/>
        </w:rPr>
        <w:t xml:space="preserve"> </w:t>
      </w:r>
      <w:proofErr w:type="spellStart"/>
      <w:r>
        <w:rPr>
          <w:rFonts w:ascii="Arial" w:hAnsi="Arial" w:cs="Arial"/>
          <w:sz w:val="16"/>
          <w:szCs w:val="16"/>
        </w:rPr>
        <w:t>Vaid</w:t>
      </w:r>
      <w:proofErr w:type="spellEnd"/>
      <w:r>
        <w:rPr>
          <w:rFonts w:ascii="Arial" w:hAnsi="Arial" w:cs="Arial"/>
          <w:sz w:val="16"/>
          <w:szCs w:val="16"/>
        </w:rPr>
        <w:t>, K.N. (1999)</w:t>
      </w:r>
    </w:p>
  </w:footnote>
  <w:footnote w:id="54">
    <w:p w14:paraId="4D3D3C14" w14:textId="77777777" w:rsidR="006A62B6" w:rsidRPr="001E6710" w:rsidRDefault="006A62B6" w:rsidP="003E6142">
      <w:pPr>
        <w:pStyle w:val="FootnoteText"/>
        <w:rPr>
          <w:rFonts w:ascii="Arial" w:hAnsi="Arial" w:cs="Arial"/>
          <w:sz w:val="16"/>
          <w:szCs w:val="16"/>
        </w:rPr>
      </w:pPr>
      <w:r w:rsidRPr="001E6710">
        <w:rPr>
          <w:rStyle w:val="FootnoteReference"/>
          <w:rFonts w:ascii="Arial" w:hAnsi="Arial" w:cs="Arial"/>
          <w:sz w:val="16"/>
          <w:szCs w:val="16"/>
        </w:rPr>
        <w:footnoteRef/>
      </w:r>
      <w:r w:rsidRPr="001E6710">
        <w:rPr>
          <w:rStyle w:val="FootnoteReference"/>
          <w:rFonts w:ascii="Arial" w:hAnsi="Arial" w:cs="Arial"/>
          <w:sz w:val="16"/>
          <w:szCs w:val="16"/>
        </w:rPr>
        <w:t xml:space="preserve"> </w:t>
      </w:r>
      <w:r w:rsidRPr="001E6710">
        <w:rPr>
          <w:rFonts w:ascii="Arial" w:hAnsi="Arial" w:cs="Arial"/>
          <w:sz w:val="16"/>
          <w:szCs w:val="16"/>
        </w:rPr>
        <w:t xml:space="preserve">Fraser, </w:t>
      </w:r>
      <w:proofErr w:type="spellStart"/>
      <w:r w:rsidRPr="001E6710">
        <w:rPr>
          <w:rFonts w:ascii="Arial" w:hAnsi="Arial" w:cs="Arial"/>
          <w:sz w:val="16"/>
          <w:szCs w:val="16"/>
        </w:rPr>
        <w:t>Viswanath</w:t>
      </w:r>
      <w:proofErr w:type="spellEnd"/>
      <w:r w:rsidRPr="001E6710">
        <w:rPr>
          <w:rFonts w:ascii="Arial" w:hAnsi="Arial" w:cs="Arial"/>
          <w:sz w:val="16"/>
          <w:szCs w:val="16"/>
        </w:rPr>
        <w:t xml:space="preserve"> and Maclean (2017)</w:t>
      </w:r>
    </w:p>
  </w:footnote>
  <w:footnote w:id="55">
    <w:p w14:paraId="4136AE19" w14:textId="77777777" w:rsidR="006A62B6" w:rsidRPr="001E6710" w:rsidRDefault="006A62B6" w:rsidP="003E6142">
      <w:pPr>
        <w:pStyle w:val="FootnoteText"/>
        <w:rPr>
          <w:rFonts w:ascii="Arial" w:hAnsi="Arial" w:cs="Arial"/>
          <w:sz w:val="16"/>
          <w:szCs w:val="16"/>
        </w:rPr>
      </w:pPr>
      <w:r w:rsidRPr="001E6710">
        <w:rPr>
          <w:rStyle w:val="FootnoteReference"/>
          <w:rFonts w:ascii="Arial" w:hAnsi="Arial" w:cs="Arial"/>
          <w:sz w:val="16"/>
          <w:szCs w:val="16"/>
        </w:rPr>
        <w:footnoteRef/>
      </w:r>
      <w:r w:rsidRPr="001E6710">
        <w:rPr>
          <w:rStyle w:val="FootnoteReference"/>
          <w:rFonts w:ascii="Arial" w:hAnsi="Arial" w:cs="Arial"/>
          <w:sz w:val="16"/>
          <w:szCs w:val="16"/>
        </w:rPr>
        <w:t xml:space="preserve"> </w:t>
      </w:r>
      <w:r w:rsidRPr="001E6710">
        <w:rPr>
          <w:rFonts w:ascii="Arial" w:hAnsi="Arial" w:cs="Arial"/>
          <w:sz w:val="16"/>
          <w:szCs w:val="16"/>
        </w:rPr>
        <w:t>Human Rights Watch (2014).</w:t>
      </w:r>
    </w:p>
  </w:footnote>
  <w:footnote w:id="56">
    <w:p w14:paraId="69C1BEF6" w14:textId="77777777" w:rsidR="006A62B6" w:rsidRPr="001E6710" w:rsidRDefault="006A62B6" w:rsidP="003E6142">
      <w:pPr>
        <w:pStyle w:val="FootnoteText"/>
        <w:rPr>
          <w:rFonts w:ascii="Arial" w:hAnsi="Arial" w:cs="Arial"/>
          <w:sz w:val="16"/>
          <w:szCs w:val="16"/>
        </w:rPr>
      </w:pPr>
      <w:r w:rsidRPr="001E6710">
        <w:rPr>
          <w:rStyle w:val="FootnoteReference"/>
          <w:rFonts w:ascii="Arial" w:hAnsi="Arial" w:cs="Arial"/>
          <w:sz w:val="16"/>
          <w:szCs w:val="16"/>
        </w:rPr>
        <w:footnoteRef/>
      </w:r>
      <w:r w:rsidRPr="001E6710">
        <w:rPr>
          <w:rStyle w:val="FootnoteReference"/>
          <w:rFonts w:ascii="Arial" w:hAnsi="Arial" w:cs="Arial"/>
          <w:sz w:val="16"/>
          <w:szCs w:val="16"/>
        </w:rPr>
        <w:t xml:space="preserve"> </w:t>
      </w:r>
      <w:r w:rsidRPr="001E6710">
        <w:rPr>
          <w:rFonts w:ascii="Arial" w:hAnsi="Arial" w:cs="Arial"/>
          <w:sz w:val="16"/>
          <w:szCs w:val="16"/>
        </w:rPr>
        <w:t>World Bank Group President Jim Yong Kim (October 2016) in speech launching GGBV Task Force.</w:t>
      </w:r>
    </w:p>
  </w:footnote>
  <w:footnote w:id="57">
    <w:p w14:paraId="48C7C0F4" w14:textId="77777777" w:rsidR="006A62B6" w:rsidRPr="00EA15D0" w:rsidRDefault="006A62B6" w:rsidP="00A72B87">
      <w:pPr>
        <w:pStyle w:val="FootnoteText"/>
        <w:rPr>
          <w:rFonts w:ascii="Arial" w:hAnsi="Arial" w:cs="Arial"/>
          <w:sz w:val="16"/>
          <w:szCs w:val="16"/>
        </w:rPr>
      </w:pPr>
      <w:r w:rsidRPr="001E6710">
        <w:rPr>
          <w:rStyle w:val="FootnoteReference"/>
          <w:rFonts w:ascii="Arial" w:hAnsi="Arial" w:cs="Arial"/>
          <w:sz w:val="16"/>
          <w:szCs w:val="16"/>
        </w:rPr>
        <w:footnoteRef/>
      </w:r>
      <w:r w:rsidRPr="001E6710">
        <w:rPr>
          <w:rStyle w:val="FootnoteReference"/>
          <w:rFonts w:ascii="Arial" w:hAnsi="Arial" w:cs="Arial"/>
          <w:sz w:val="16"/>
          <w:szCs w:val="16"/>
        </w:rPr>
        <w:t xml:space="preserve"> </w:t>
      </w:r>
      <w:r w:rsidRPr="00EA15D0">
        <w:rPr>
          <w:rFonts w:ascii="Arial" w:hAnsi="Arial" w:cs="Arial"/>
          <w:sz w:val="16"/>
          <w:szCs w:val="16"/>
        </w:rPr>
        <w:t>ILO (2016</w:t>
      </w:r>
      <w:r>
        <w:rPr>
          <w:rFonts w:ascii="Arial" w:hAnsi="Arial" w:cs="Arial"/>
          <w:sz w:val="16"/>
          <w:szCs w:val="16"/>
        </w:rPr>
        <w:t>)</w:t>
      </w:r>
    </w:p>
  </w:footnote>
  <w:footnote w:id="58">
    <w:p w14:paraId="32422576" w14:textId="77777777" w:rsidR="006A62B6" w:rsidRPr="001E6710" w:rsidRDefault="006A62B6" w:rsidP="003E6142">
      <w:pPr>
        <w:pStyle w:val="FootnoteText"/>
        <w:rPr>
          <w:rFonts w:ascii="Arial" w:hAnsi="Arial" w:cs="Arial"/>
          <w:sz w:val="16"/>
          <w:szCs w:val="16"/>
        </w:rPr>
      </w:pPr>
      <w:r w:rsidRPr="001E6710">
        <w:rPr>
          <w:rStyle w:val="FootnoteReference"/>
          <w:rFonts w:ascii="Arial" w:hAnsi="Arial" w:cs="Arial"/>
          <w:sz w:val="16"/>
          <w:szCs w:val="16"/>
        </w:rPr>
        <w:footnoteRef/>
      </w:r>
      <w:r w:rsidRPr="001E6710">
        <w:rPr>
          <w:rStyle w:val="FootnoteReference"/>
          <w:rFonts w:ascii="Arial" w:hAnsi="Arial" w:cs="Arial"/>
          <w:sz w:val="16"/>
          <w:szCs w:val="16"/>
        </w:rPr>
        <w:t xml:space="preserve"> </w:t>
      </w:r>
      <w:r w:rsidRPr="001E6710">
        <w:rPr>
          <w:rFonts w:ascii="Arial" w:hAnsi="Arial" w:cs="Arial"/>
          <w:sz w:val="16"/>
          <w:szCs w:val="16"/>
        </w:rPr>
        <w:t xml:space="preserve">Fraser, </w:t>
      </w:r>
      <w:proofErr w:type="spellStart"/>
      <w:r w:rsidRPr="001E6710">
        <w:rPr>
          <w:rFonts w:ascii="Arial" w:hAnsi="Arial" w:cs="Arial"/>
          <w:sz w:val="16"/>
          <w:szCs w:val="16"/>
        </w:rPr>
        <w:t>Viswanath</w:t>
      </w:r>
      <w:proofErr w:type="spellEnd"/>
      <w:r w:rsidRPr="001E6710">
        <w:rPr>
          <w:rFonts w:ascii="Arial" w:hAnsi="Arial" w:cs="Arial"/>
          <w:sz w:val="16"/>
          <w:szCs w:val="16"/>
        </w:rPr>
        <w:t xml:space="preserve"> and Maclean (2017)</w:t>
      </w:r>
    </w:p>
  </w:footnote>
  <w:footnote w:id="59">
    <w:p w14:paraId="2EA3EB06" w14:textId="77777777" w:rsidR="006A62B6" w:rsidRPr="00EA15D0"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sidRPr="00EA15D0">
        <w:rPr>
          <w:rFonts w:ascii="Arial" w:hAnsi="Arial" w:cs="Arial"/>
          <w:sz w:val="16"/>
          <w:szCs w:val="16"/>
        </w:rPr>
        <w:t xml:space="preserve"> ILO(2011</w:t>
      </w:r>
      <w:r>
        <w:rPr>
          <w:rFonts w:ascii="Arial" w:hAnsi="Arial" w:cs="Arial"/>
          <w:sz w:val="16"/>
          <w:szCs w:val="16"/>
        </w:rPr>
        <w:t>a)</w:t>
      </w:r>
    </w:p>
  </w:footnote>
  <w:footnote w:id="60">
    <w:p w14:paraId="617BFFC6" w14:textId="77777777" w:rsidR="006A62B6" w:rsidRPr="00EA15D0"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sidRPr="00EA15D0">
        <w:rPr>
          <w:rFonts w:ascii="Arial" w:hAnsi="Arial" w:cs="Arial"/>
          <w:sz w:val="16"/>
          <w:szCs w:val="16"/>
        </w:rPr>
        <w:t xml:space="preserve"> BWI</w:t>
      </w:r>
      <w:r>
        <w:rPr>
          <w:rFonts w:ascii="Arial" w:hAnsi="Arial" w:cs="Arial"/>
          <w:sz w:val="16"/>
          <w:szCs w:val="16"/>
        </w:rPr>
        <w:t xml:space="preserve"> (</w:t>
      </w:r>
      <w:proofErr w:type="spellStart"/>
      <w:r>
        <w:rPr>
          <w:rFonts w:ascii="Arial" w:hAnsi="Arial" w:cs="Arial"/>
          <w:sz w:val="16"/>
          <w:szCs w:val="16"/>
        </w:rPr>
        <w:t>n.d</w:t>
      </w:r>
      <w:proofErr w:type="spellEnd"/>
      <w:r>
        <w:rPr>
          <w:rFonts w:ascii="Arial" w:hAnsi="Arial" w:cs="Arial"/>
          <w:sz w:val="16"/>
          <w:szCs w:val="16"/>
        </w:rPr>
        <w:t>)</w:t>
      </w:r>
    </w:p>
  </w:footnote>
  <w:footnote w:id="61">
    <w:p w14:paraId="6D102A6A" w14:textId="77777777" w:rsidR="006A62B6" w:rsidRPr="00EA15D0"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Pr>
          <w:rFonts w:ascii="Arial" w:hAnsi="Arial" w:cs="Arial"/>
          <w:sz w:val="16"/>
          <w:szCs w:val="16"/>
        </w:rPr>
        <w:t xml:space="preserve"> US Department of </w:t>
      </w:r>
      <w:proofErr w:type="spellStart"/>
      <w:r>
        <w:rPr>
          <w:rFonts w:ascii="Arial" w:hAnsi="Arial" w:cs="Arial"/>
          <w:sz w:val="16"/>
          <w:szCs w:val="16"/>
        </w:rPr>
        <w:t>Labor</w:t>
      </w:r>
      <w:proofErr w:type="spellEnd"/>
      <w:r>
        <w:rPr>
          <w:rFonts w:ascii="Arial" w:hAnsi="Arial" w:cs="Arial"/>
          <w:sz w:val="16"/>
          <w:szCs w:val="16"/>
        </w:rPr>
        <w:t xml:space="preserve"> (</w:t>
      </w:r>
      <w:r w:rsidRPr="00EA15D0">
        <w:rPr>
          <w:rFonts w:ascii="Arial" w:hAnsi="Arial" w:cs="Arial"/>
          <w:sz w:val="16"/>
          <w:szCs w:val="16"/>
        </w:rPr>
        <w:t>2017</w:t>
      </w:r>
      <w:r>
        <w:rPr>
          <w:rFonts w:ascii="Arial" w:hAnsi="Arial" w:cs="Arial"/>
          <w:sz w:val="16"/>
          <w:szCs w:val="16"/>
        </w:rPr>
        <w:t>)</w:t>
      </w:r>
    </w:p>
  </w:footnote>
  <w:footnote w:id="62">
    <w:p w14:paraId="20381C65" w14:textId="77777777" w:rsidR="006A62B6" w:rsidRPr="008C657C"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Pr>
          <w:rFonts w:ascii="Arial" w:hAnsi="Arial" w:cs="Arial"/>
          <w:sz w:val="16"/>
          <w:szCs w:val="16"/>
        </w:rPr>
        <w:t xml:space="preserve"> FPRW-IPEC (2014)</w:t>
      </w:r>
    </w:p>
  </w:footnote>
  <w:footnote w:id="63">
    <w:p w14:paraId="23A61A25" w14:textId="77777777" w:rsidR="006A62B6" w:rsidRPr="00EA15D0" w:rsidRDefault="006A62B6" w:rsidP="008632F2">
      <w:pPr>
        <w:pStyle w:val="FootnoteText"/>
        <w:rPr>
          <w:rFonts w:ascii="Arial" w:hAnsi="Arial" w:cs="Arial"/>
          <w:sz w:val="16"/>
          <w:szCs w:val="16"/>
        </w:rPr>
      </w:pPr>
      <w:r w:rsidRPr="00EA15D0">
        <w:rPr>
          <w:rStyle w:val="FootnoteReference"/>
          <w:rFonts w:ascii="Arial" w:hAnsi="Arial" w:cs="Arial"/>
          <w:sz w:val="16"/>
          <w:szCs w:val="16"/>
        </w:rPr>
        <w:footnoteRef/>
      </w:r>
      <w:r w:rsidRPr="008C657C">
        <w:rPr>
          <w:rFonts w:ascii="Arial" w:hAnsi="Arial" w:cs="Arial"/>
          <w:sz w:val="16"/>
          <w:szCs w:val="16"/>
        </w:rPr>
        <w:t xml:space="preserve"> ILO (2011b)</w:t>
      </w:r>
    </w:p>
  </w:footnote>
  <w:footnote w:id="64">
    <w:p w14:paraId="3645D3E9" w14:textId="77777777" w:rsidR="006A62B6" w:rsidRPr="00B16C8B" w:rsidRDefault="006A62B6" w:rsidP="0028602B">
      <w:pPr>
        <w:pStyle w:val="FootnoteText"/>
        <w:rPr>
          <w:rFonts w:ascii="Arial" w:hAnsi="Arial" w:cs="Arial"/>
          <w:sz w:val="16"/>
          <w:szCs w:val="16"/>
        </w:rPr>
      </w:pPr>
      <w:r w:rsidRPr="00B16C8B">
        <w:rPr>
          <w:rStyle w:val="FootnoteReference"/>
          <w:rFonts w:ascii="Arial" w:hAnsi="Arial" w:cs="Arial"/>
          <w:sz w:val="16"/>
          <w:szCs w:val="16"/>
        </w:rPr>
        <w:footnoteRef/>
      </w:r>
      <w:r w:rsidRPr="00B16C8B">
        <w:rPr>
          <w:rFonts w:ascii="Arial" w:hAnsi="Arial" w:cs="Arial"/>
          <w:sz w:val="16"/>
          <w:szCs w:val="16"/>
        </w:rPr>
        <w:t xml:space="preserve"> A skills gap is the qualitative mismatch between the supply or availability of human resources and the</w:t>
      </w:r>
    </w:p>
    <w:p w14:paraId="2FDF5CA6" w14:textId="77777777" w:rsidR="006A62B6" w:rsidRPr="008F4768" w:rsidRDefault="006A62B6" w:rsidP="0028602B">
      <w:pPr>
        <w:pStyle w:val="FootnoteText"/>
        <w:rPr>
          <w:rFonts w:ascii="Arial" w:hAnsi="Arial" w:cs="Arial"/>
          <w:sz w:val="16"/>
          <w:szCs w:val="16"/>
        </w:rPr>
      </w:pPr>
      <w:proofErr w:type="gramStart"/>
      <w:r w:rsidRPr="00B16C8B">
        <w:rPr>
          <w:rFonts w:ascii="Arial" w:hAnsi="Arial" w:cs="Arial"/>
          <w:sz w:val="16"/>
          <w:szCs w:val="16"/>
        </w:rPr>
        <w:t>requirements</w:t>
      </w:r>
      <w:proofErr w:type="gramEnd"/>
      <w:r w:rsidRPr="00B16C8B">
        <w:rPr>
          <w:rFonts w:ascii="Arial" w:hAnsi="Arial" w:cs="Arial"/>
          <w:sz w:val="16"/>
          <w:szCs w:val="16"/>
        </w:rPr>
        <w:t xml:space="preserve"> of the </w:t>
      </w:r>
      <w:proofErr w:type="spellStart"/>
      <w:r w:rsidRPr="00B16C8B">
        <w:rPr>
          <w:rFonts w:ascii="Arial" w:hAnsi="Arial" w:cs="Arial"/>
          <w:sz w:val="16"/>
          <w:szCs w:val="16"/>
        </w:rPr>
        <w:t>labor</w:t>
      </w:r>
      <w:proofErr w:type="spellEnd"/>
      <w:r w:rsidRPr="00B16C8B">
        <w:rPr>
          <w:rFonts w:ascii="Arial" w:hAnsi="Arial" w:cs="Arial"/>
          <w:sz w:val="16"/>
          <w:szCs w:val="16"/>
        </w:rPr>
        <w:t xml:space="preserve"> market.</w:t>
      </w:r>
    </w:p>
  </w:footnote>
  <w:footnote w:id="65">
    <w:p w14:paraId="26F21F54" w14:textId="77777777" w:rsidR="006A62B6" w:rsidRPr="008F4768" w:rsidRDefault="006A62B6">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w:t>
      </w:r>
      <w:r w:rsidRPr="00B16C8B">
        <w:rPr>
          <w:rFonts w:ascii="Arial" w:hAnsi="Arial" w:cs="Arial"/>
          <w:sz w:val="16"/>
          <w:szCs w:val="16"/>
        </w:rPr>
        <w:t>ILO (2015c)</w:t>
      </w:r>
    </w:p>
  </w:footnote>
  <w:footnote w:id="66">
    <w:p w14:paraId="31A896E2" w14:textId="77777777" w:rsidR="006A62B6" w:rsidRPr="00B16C8B" w:rsidRDefault="006A62B6" w:rsidP="008632F2">
      <w:pPr>
        <w:pStyle w:val="FootnoteText"/>
        <w:rPr>
          <w:rFonts w:ascii="Arial" w:hAnsi="Arial" w:cs="Arial"/>
          <w:sz w:val="16"/>
          <w:szCs w:val="16"/>
        </w:rPr>
      </w:pPr>
      <w:r w:rsidRPr="00B16C8B">
        <w:rPr>
          <w:rStyle w:val="FootnoteReference"/>
          <w:rFonts w:ascii="Arial" w:hAnsi="Arial" w:cs="Arial"/>
          <w:sz w:val="16"/>
          <w:szCs w:val="16"/>
        </w:rPr>
        <w:footnoteRef/>
      </w:r>
      <w:r w:rsidRPr="00B16C8B">
        <w:rPr>
          <w:rFonts w:ascii="Arial" w:hAnsi="Arial" w:cs="Arial"/>
          <w:sz w:val="16"/>
          <w:szCs w:val="16"/>
        </w:rPr>
        <w:t xml:space="preserve"> See for example ILO (2017a)</w:t>
      </w:r>
    </w:p>
  </w:footnote>
  <w:footnote w:id="67">
    <w:p w14:paraId="2BB12CE0" w14:textId="77777777" w:rsidR="006A62B6" w:rsidRPr="007A6FF2" w:rsidRDefault="006A62B6" w:rsidP="008632F2">
      <w:pPr>
        <w:pStyle w:val="FootnoteText"/>
        <w:rPr>
          <w:rFonts w:ascii="Arial" w:hAnsi="Arial" w:cs="Arial"/>
          <w:sz w:val="16"/>
          <w:szCs w:val="16"/>
        </w:rPr>
      </w:pPr>
      <w:r w:rsidRPr="007A6FF2">
        <w:rPr>
          <w:rStyle w:val="FootnoteReference"/>
          <w:rFonts w:ascii="Arial" w:hAnsi="Arial" w:cs="Arial"/>
          <w:sz w:val="16"/>
          <w:szCs w:val="16"/>
        </w:rPr>
        <w:footnoteRef/>
      </w:r>
      <w:r w:rsidRPr="007A6FF2">
        <w:rPr>
          <w:rFonts w:ascii="Arial" w:hAnsi="Arial" w:cs="Arial"/>
          <w:sz w:val="16"/>
          <w:szCs w:val="16"/>
        </w:rPr>
        <w:t xml:space="preserve"> See for example STEP (2016)</w:t>
      </w:r>
    </w:p>
  </w:footnote>
  <w:footnote w:id="68">
    <w:p w14:paraId="47135FDF" w14:textId="77777777" w:rsidR="006A62B6" w:rsidRPr="008F4768" w:rsidRDefault="006A62B6" w:rsidP="008632F2">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ILO (2015c)</w:t>
      </w:r>
    </w:p>
  </w:footnote>
  <w:footnote w:id="69">
    <w:p w14:paraId="4D51C753" w14:textId="77777777" w:rsidR="006A62B6" w:rsidRPr="008F4768" w:rsidRDefault="006A62B6" w:rsidP="00A15F9C">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National Skill Development Corporation (2009)</w:t>
      </w:r>
    </w:p>
  </w:footnote>
  <w:footnote w:id="70">
    <w:p w14:paraId="5558A8C5" w14:textId="77777777" w:rsidR="006A62B6" w:rsidRPr="008F4768" w:rsidRDefault="006A62B6" w:rsidP="008632F2">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ILO (2015c)</w:t>
      </w:r>
    </w:p>
  </w:footnote>
  <w:footnote w:id="71">
    <w:p w14:paraId="454F83CE" w14:textId="77777777" w:rsidR="006A62B6" w:rsidRPr="008F4768" w:rsidRDefault="006A62B6" w:rsidP="005F79D5">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w:t>
      </w:r>
      <w:r w:rsidRPr="00B16C8B">
        <w:rPr>
          <w:rFonts w:ascii="Arial" w:hAnsi="Arial" w:cs="Arial"/>
          <w:sz w:val="16"/>
          <w:szCs w:val="16"/>
        </w:rPr>
        <w:t>UNEP, 2008</w:t>
      </w:r>
    </w:p>
  </w:footnote>
  <w:footnote w:id="72">
    <w:p w14:paraId="16804171" w14:textId="77777777" w:rsidR="006A62B6" w:rsidRPr="008F4768" w:rsidRDefault="006A62B6" w:rsidP="0083286B">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w:t>
      </w:r>
      <w:proofErr w:type="spellStart"/>
      <w:r w:rsidRPr="00B16C8B">
        <w:rPr>
          <w:rFonts w:ascii="Arial" w:hAnsi="Arial" w:cs="Arial"/>
          <w:sz w:val="16"/>
          <w:szCs w:val="16"/>
        </w:rPr>
        <w:t>Figueres</w:t>
      </w:r>
      <w:proofErr w:type="spellEnd"/>
      <w:r w:rsidRPr="00B16C8B">
        <w:rPr>
          <w:rFonts w:ascii="Arial" w:hAnsi="Arial" w:cs="Arial"/>
          <w:sz w:val="16"/>
          <w:szCs w:val="16"/>
        </w:rPr>
        <w:t xml:space="preserve"> and Ryder, 2012; OECD 2011</w:t>
      </w:r>
    </w:p>
  </w:footnote>
  <w:footnote w:id="73">
    <w:p w14:paraId="515B4A17" w14:textId="77777777" w:rsidR="006A62B6" w:rsidRPr="00C03321" w:rsidRDefault="006A62B6" w:rsidP="0083286B">
      <w:pPr>
        <w:pStyle w:val="FootnoteText"/>
        <w:rPr>
          <w:rFonts w:ascii="Arial" w:hAnsi="Arial" w:cs="Arial"/>
          <w:sz w:val="19"/>
          <w:szCs w:val="19"/>
        </w:rPr>
      </w:pPr>
      <w:r w:rsidRPr="008F4768">
        <w:rPr>
          <w:rStyle w:val="FootnoteReference"/>
          <w:rFonts w:ascii="Arial" w:hAnsi="Arial" w:cs="Arial"/>
          <w:sz w:val="16"/>
          <w:szCs w:val="16"/>
        </w:rPr>
        <w:footnoteRef/>
      </w:r>
      <w:r w:rsidRPr="008F4768">
        <w:rPr>
          <w:rFonts w:ascii="Arial" w:hAnsi="Arial" w:cs="Arial"/>
          <w:sz w:val="16"/>
          <w:szCs w:val="16"/>
        </w:rPr>
        <w:t xml:space="preserve"> </w:t>
      </w:r>
      <w:r w:rsidRPr="00B16C8B">
        <w:rPr>
          <w:rFonts w:ascii="Arial" w:hAnsi="Arial" w:cs="Arial"/>
          <w:sz w:val="16"/>
          <w:szCs w:val="16"/>
        </w:rPr>
        <w:t>UNEP, 2011</w:t>
      </w:r>
    </w:p>
  </w:footnote>
  <w:footnote w:id="74">
    <w:p w14:paraId="36363D7B" w14:textId="77777777" w:rsidR="006A62B6" w:rsidRPr="008F4768" w:rsidRDefault="006A62B6" w:rsidP="006F54ED">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w:t>
      </w:r>
      <w:r w:rsidRPr="00B16C8B">
        <w:rPr>
          <w:rFonts w:ascii="Arial" w:hAnsi="Arial" w:cs="Arial"/>
          <w:sz w:val="16"/>
          <w:szCs w:val="16"/>
        </w:rPr>
        <w:t>See ARUPs support for Kindergartens in Ghana (Sabre Trust)</w:t>
      </w:r>
    </w:p>
  </w:footnote>
  <w:footnote w:id="75">
    <w:p w14:paraId="59E16B74" w14:textId="77777777" w:rsidR="006A62B6" w:rsidRPr="00067D95" w:rsidRDefault="006A62B6" w:rsidP="008632F2">
      <w:pPr>
        <w:pStyle w:val="FootnoteText"/>
        <w:rPr>
          <w:rFonts w:ascii="Arial" w:hAnsi="Arial" w:cs="Arial"/>
          <w:sz w:val="16"/>
          <w:szCs w:val="16"/>
        </w:rPr>
      </w:pPr>
      <w:r w:rsidRPr="00B16C8B">
        <w:rPr>
          <w:rStyle w:val="FootnoteReference"/>
          <w:rFonts w:ascii="Arial" w:hAnsi="Arial" w:cs="Arial"/>
          <w:sz w:val="16"/>
          <w:szCs w:val="16"/>
        </w:rPr>
        <w:footnoteRef/>
      </w:r>
      <w:r w:rsidRPr="00B16C8B">
        <w:rPr>
          <w:rFonts w:ascii="Arial" w:hAnsi="Arial" w:cs="Arial"/>
          <w:sz w:val="16"/>
          <w:szCs w:val="16"/>
        </w:rPr>
        <w:t xml:space="preserve"> Trade union density rate conveys the number of employees who are union members as a percentage of the total number of employees. For the purpose of this indicator in particular, trade union membership excludes union members who are </w:t>
      </w:r>
      <w:r w:rsidRPr="007A6FF2">
        <w:rPr>
          <w:rFonts w:ascii="Arial" w:hAnsi="Arial" w:cs="Arial"/>
          <w:sz w:val="16"/>
          <w:szCs w:val="16"/>
        </w:rPr>
        <w:t>not in paid employment (self-employed, unemployed, retired, etc.). Source: ILOSTAT.</w:t>
      </w:r>
    </w:p>
  </w:footnote>
  <w:footnote w:id="76">
    <w:p w14:paraId="37E41DD4" w14:textId="77777777" w:rsidR="006A62B6" w:rsidRPr="008E633E" w:rsidRDefault="006A62B6" w:rsidP="00466F23">
      <w:pPr>
        <w:pStyle w:val="FootnoteText"/>
      </w:pPr>
      <w:r w:rsidRPr="00067D95">
        <w:rPr>
          <w:rStyle w:val="FootnoteReference"/>
          <w:rFonts w:ascii="Arial" w:hAnsi="Arial" w:cs="Arial"/>
          <w:sz w:val="16"/>
          <w:szCs w:val="16"/>
        </w:rPr>
        <w:footnoteRef/>
      </w:r>
      <w:r w:rsidRPr="00067D95">
        <w:rPr>
          <w:rFonts w:ascii="Arial" w:hAnsi="Arial" w:cs="Arial"/>
          <w:sz w:val="16"/>
          <w:szCs w:val="16"/>
        </w:rPr>
        <w:t xml:space="preserve"> Union density was available for only nine DFID countries, including Ethiopia, Malawi, Occupied Palestinian Territory, Sierra Leone, South Africa, Tanzania, Uganda, Zambia and Zimbabwe. Source: ILOSTAT.</w:t>
      </w:r>
    </w:p>
  </w:footnote>
  <w:footnote w:id="77">
    <w:p w14:paraId="45591BF1" w14:textId="77777777" w:rsidR="006A62B6" w:rsidRPr="00067D95" w:rsidRDefault="006A62B6" w:rsidP="008632F2">
      <w:pPr>
        <w:pStyle w:val="FootnoteText"/>
        <w:rPr>
          <w:rFonts w:ascii="Arial" w:hAnsi="Arial" w:cs="Arial"/>
          <w:sz w:val="16"/>
          <w:szCs w:val="16"/>
        </w:rPr>
      </w:pPr>
      <w:r w:rsidRPr="00067D95">
        <w:rPr>
          <w:rStyle w:val="FootnoteReference"/>
          <w:rFonts w:ascii="Arial" w:hAnsi="Arial" w:cs="Arial"/>
          <w:sz w:val="16"/>
          <w:szCs w:val="16"/>
        </w:rPr>
        <w:footnoteRef/>
      </w:r>
      <w:r w:rsidRPr="00067D95">
        <w:rPr>
          <w:rFonts w:ascii="Arial" w:hAnsi="Arial" w:cs="Arial"/>
          <w:sz w:val="16"/>
          <w:szCs w:val="16"/>
        </w:rPr>
        <w:t xml:space="preserve"> Collective bargaining coverage includes, to the extent possible, workers covered by collective agreements in virtue of their extension. Collective bargaining coverage rates are adjusted for the possibility that some workers do not have the right to bargain collectively over wages (e.g. workers in the public services who have their wages determined by state regulation or other methods involving consultation), unless otherwise stated in the notes.</w:t>
      </w:r>
    </w:p>
  </w:footnote>
  <w:footnote w:id="78">
    <w:p w14:paraId="0691C2CC" w14:textId="77777777" w:rsidR="006A62B6" w:rsidRPr="00A15F9C" w:rsidRDefault="006A62B6" w:rsidP="006246A5">
      <w:pPr>
        <w:pStyle w:val="FootnoteText"/>
        <w:rPr>
          <w:rFonts w:ascii="Arial" w:hAnsi="Arial" w:cs="Arial"/>
          <w:sz w:val="16"/>
          <w:szCs w:val="16"/>
        </w:rPr>
      </w:pPr>
      <w:r w:rsidRPr="00067D95">
        <w:rPr>
          <w:rStyle w:val="FootnoteReference"/>
          <w:rFonts w:ascii="Arial" w:hAnsi="Arial" w:cs="Arial"/>
          <w:sz w:val="16"/>
          <w:szCs w:val="16"/>
        </w:rPr>
        <w:footnoteRef/>
      </w:r>
      <w:r>
        <w:rPr>
          <w:rFonts w:ascii="Arial" w:hAnsi="Arial" w:cs="Arial"/>
          <w:sz w:val="16"/>
          <w:szCs w:val="16"/>
        </w:rPr>
        <w:t xml:space="preserve"> ILO (2015c) </w:t>
      </w:r>
      <w:r w:rsidRPr="00067D95">
        <w:rPr>
          <w:rFonts w:ascii="Arial" w:hAnsi="Arial" w:cs="Arial"/>
          <w:sz w:val="16"/>
          <w:szCs w:val="16"/>
        </w:rPr>
        <w:t>Points of consensus. Opportunit</w:t>
      </w:r>
      <w:r>
        <w:rPr>
          <w:rFonts w:ascii="Arial" w:hAnsi="Arial" w:cs="Arial"/>
          <w:sz w:val="16"/>
          <w:szCs w:val="16"/>
        </w:rPr>
        <w:t xml:space="preserve">ies and challenges faced by the </w:t>
      </w:r>
      <w:r w:rsidRPr="00067D95">
        <w:rPr>
          <w:rFonts w:ascii="Arial" w:hAnsi="Arial" w:cs="Arial"/>
          <w:sz w:val="16"/>
          <w:szCs w:val="16"/>
        </w:rPr>
        <w:t>construction sector in promoting decent work and productive employment</w:t>
      </w:r>
      <w:r>
        <w:rPr>
          <w:rFonts w:ascii="Arial" w:hAnsi="Arial" w:cs="Arial"/>
          <w:sz w:val="16"/>
          <w:szCs w:val="16"/>
        </w:rPr>
        <w:t xml:space="preserve">, specifically in areas such as </w:t>
      </w:r>
      <w:r w:rsidRPr="00067D95">
        <w:rPr>
          <w:rFonts w:ascii="Arial" w:hAnsi="Arial" w:cs="Arial"/>
          <w:sz w:val="16"/>
          <w:szCs w:val="16"/>
        </w:rPr>
        <w:t>employment relations, occupational safety and health, and vocational education and training, 19-20 November 2015.</w:t>
      </w:r>
    </w:p>
  </w:footnote>
  <w:footnote w:id="79">
    <w:p w14:paraId="20EAC236" w14:textId="77777777" w:rsidR="006A62B6" w:rsidRPr="00EB7499" w:rsidRDefault="006A62B6" w:rsidP="00EB7499">
      <w:pPr>
        <w:pStyle w:val="FootnoteText"/>
        <w:rPr>
          <w:rFonts w:ascii="Arial" w:hAnsi="Arial" w:cs="Arial"/>
          <w:sz w:val="16"/>
          <w:szCs w:val="16"/>
        </w:rPr>
      </w:pPr>
      <w:r w:rsidRPr="00067D95">
        <w:rPr>
          <w:rStyle w:val="FootnoteReference"/>
          <w:rFonts w:ascii="Arial" w:hAnsi="Arial" w:cs="Arial"/>
          <w:sz w:val="16"/>
          <w:szCs w:val="16"/>
        </w:rPr>
        <w:footnoteRef/>
      </w:r>
      <w:r w:rsidRPr="00EB7499">
        <w:rPr>
          <w:rFonts w:ascii="Arial" w:hAnsi="Arial" w:cs="Arial"/>
          <w:sz w:val="16"/>
          <w:szCs w:val="16"/>
        </w:rPr>
        <w:t xml:space="preserve"> ILO (2013b)</w:t>
      </w:r>
    </w:p>
  </w:footnote>
  <w:footnote w:id="80">
    <w:p w14:paraId="69294AA3" w14:textId="77777777" w:rsidR="006A62B6" w:rsidRPr="008F4768" w:rsidRDefault="006A62B6" w:rsidP="0070308D">
      <w:pPr>
        <w:pStyle w:val="FootnoteText"/>
        <w:rPr>
          <w:rFonts w:ascii="Arial" w:hAnsi="Arial" w:cs="Arial"/>
          <w:sz w:val="16"/>
          <w:szCs w:val="16"/>
        </w:rPr>
      </w:pPr>
      <w:r w:rsidRPr="008F4768">
        <w:rPr>
          <w:rStyle w:val="FootnoteReference"/>
          <w:rFonts w:ascii="Arial" w:hAnsi="Arial" w:cs="Arial"/>
          <w:sz w:val="16"/>
          <w:szCs w:val="16"/>
        </w:rPr>
        <w:footnoteRef/>
      </w:r>
      <w:r w:rsidRPr="008F4768">
        <w:rPr>
          <w:rFonts w:ascii="Arial" w:hAnsi="Arial" w:cs="Arial"/>
          <w:sz w:val="16"/>
          <w:szCs w:val="16"/>
        </w:rPr>
        <w:t xml:space="preserve"> </w:t>
      </w:r>
      <w:proofErr w:type="spellStart"/>
      <w:r w:rsidRPr="008F4768">
        <w:rPr>
          <w:rFonts w:ascii="Arial" w:hAnsi="Arial" w:cs="Arial"/>
          <w:sz w:val="16"/>
          <w:szCs w:val="16"/>
        </w:rPr>
        <w:t>Murie</w:t>
      </w:r>
      <w:proofErr w:type="spellEnd"/>
      <w:r w:rsidRPr="008F4768">
        <w:rPr>
          <w:rFonts w:ascii="Arial" w:hAnsi="Arial" w:cs="Arial"/>
          <w:sz w:val="16"/>
          <w:szCs w:val="16"/>
        </w:rPr>
        <w:t xml:space="preserve"> (2009)</w:t>
      </w:r>
    </w:p>
  </w:footnote>
  <w:footnote w:id="81">
    <w:p w14:paraId="702131D1" w14:textId="77777777" w:rsidR="006A62B6" w:rsidRPr="00BE7658" w:rsidRDefault="006A62B6" w:rsidP="0070308D">
      <w:pPr>
        <w:pStyle w:val="FootnoteText"/>
        <w:rPr>
          <w:rFonts w:ascii="Arial" w:hAnsi="Arial" w:cs="Arial"/>
          <w:sz w:val="16"/>
        </w:rPr>
      </w:pPr>
      <w:r w:rsidRPr="00BE7658">
        <w:rPr>
          <w:rStyle w:val="FootnoteReference"/>
          <w:rFonts w:ascii="Arial" w:hAnsi="Arial" w:cs="Arial"/>
          <w:sz w:val="16"/>
        </w:rPr>
        <w:footnoteRef/>
      </w:r>
      <w:r w:rsidRPr="00BE7658">
        <w:rPr>
          <w:rFonts w:ascii="Arial" w:hAnsi="Arial" w:cs="Arial"/>
          <w:sz w:val="16"/>
        </w:rPr>
        <w:t xml:space="preserve"> The Labour Clauses (Public Contracts) Recommendation, 1949 (No. 84), further clarifies the provisions</w:t>
      </w:r>
    </w:p>
    <w:p w14:paraId="448120A0" w14:textId="77777777" w:rsidR="006A62B6" w:rsidRPr="00BE7658" w:rsidRDefault="006A62B6" w:rsidP="0070308D">
      <w:pPr>
        <w:pStyle w:val="FootnoteText"/>
      </w:pPr>
      <w:proofErr w:type="gramStart"/>
      <w:r w:rsidRPr="00BE7658">
        <w:rPr>
          <w:rFonts w:ascii="Arial" w:hAnsi="Arial" w:cs="Arial"/>
          <w:sz w:val="16"/>
        </w:rPr>
        <w:t>concerning</w:t>
      </w:r>
      <w:proofErr w:type="gramEnd"/>
      <w:r w:rsidRPr="00BE7658">
        <w:rPr>
          <w:rFonts w:ascii="Arial" w:hAnsi="Arial" w:cs="Arial"/>
          <w:sz w:val="16"/>
        </w:rPr>
        <w:t xml:space="preserve"> wages and working time.</w:t>
      </w:r>
    </w:p>
  </w:footnote>
  <w:footnote w:id="82">
    <w:p w14:paraId="28CD8426" w14:textId="77777777" w:rsidR="006A62B6" w:rsidRPr="00A15F9C" w:rsidRDefault="006A62B6" w:rsidP="00EB7499">
      <w:pPr>
        <w:pStyle w:val="FootnoteText"/>
        <w:rPr>
          <w:rFonts w:ascii="Arial" w:hAnsi="Arial" w:cs="Arial"/>
          <w:sz w:val="16"/>
          <w:szCs w:val="16"/>
        </w:rPr>
      </w:pPr>
      <w:r w:rsidRPr="00067D95">
        <w:rPr>
          <w:rStyle w:val="FootnoteReference"/>
          <w:rFonts w:ascii="Arial" w:hAnsi="Arial" w:cs="Arial"/>
          <w:sz w:val="16"/>
          <w:szCs w:val="16"/>
        </w:rPr>
        <w:footnoteRef/>
      </w:r>
      <w:r w:rsidRPr="00A15F9C">
        <w:rPr>
          <w:rFonts w:ascii="Arial" w:hAnsi="Arial" w:cs="Arial"/>
          <w:sz w:val="16"/>
          <w:szCs w:val="16"/>
        </w:rPr>
        <w:t xml:space="preserve"> ILO (2003)</w:t>
      </w:r>
    </w:p>
  </w:footnote>
  <w:footnote w:id="83">
    <w:p w14:paraId="6F538077" w14:textId="77777777" w:rsidR="006A62B6" w:rsidRPr="005B0D7B" w:rsidRDefault="006A62B6" w:rsidP="008632F2">
      <w:pPr>
        <w:pStyle w:val="FootnoteText"/>
      </w:pPr>
      <w:r w:rsidRPr="00067D95">
        <w:rPr>
          <w:rStyle w:val="FootnoteReference"/>
          <w:rFonts w:ascii="Arial" w:hAnsi="Arial" w:cs="Arial"/>
          <w:sz w:val="16"/>
          <w:szCs w:val="16"/>
        </w:rPr>
        <w:footnoteRef/>
      </w:r>
      <w:r w:rsidRPr="00067D95">
        <w:rPr>
          <w:rFonts w:ascii="Arial" w:hAnsi="Arial" w:cs="Arial"/>
          <w:sz w:val="16"/>
          <w:szCs w:val="16"/>
        </w:rPr>
        <w:t xml:space="preserve"> Global Framework Agreements are agreements between MNEs and global union federations representing workers at the global level by sector of activity.</w:t>
      </w:r>
    </w:p>
  </w:footnote>
  <w:footnote w:id="84">
    <w:p w14:paraId="71744D30" w14:textId="77777777" w:rsidR="006A62B6" w:rsidRPr="00067D95" w:rsidRDefault="006A62B6" w:rsidP="008632F2">
      <w:pPr>
        <w:pStyle w:val="FootnoteText"/>
        <w:rPr>
          <w:rFonts w:ascii="Arial" w:hAnsi="Arial" w:cs="Arial"/>
          <w:sz w:val="16"/>
          <w:szCs w:val="16"/>
        </w:rPr>
      </w:pPr>
      <w:r w:rsidRPr="00067D95">
        <w:rPr>
          <w:rStyle w:val="FootnoteReference"/>
          <w:rFonts w:ascii="Arial" w:hAnsi="Arial" w:cs="Arial"/>
          <w:sz w:val="16"/>
          <w:szCs w:val="16"/>
        </w:rPr>
        <w:footnoteRef/>
      </w:r>
      <w:r w:rsidRPr="00067D95">
        <w:rPr>
          <w:rFonts w:ascii="Arial" w:hAnsi="Arial" w:cs="Arial"/>
          <w:sz w:val="16"/>
          <w:szCs w:val="16"/>
        </w:rPr>
        <w:t xml:space="preserve"> Aimed at ascertaining the employability of graduates, tracer studies provide information on the medium and long term effects on employment of their programs, and reveal which programs and approaches help students perform better in the labour market.</w:t>
      </w:r>
    </w:p>
  </w:footnote>
  <w:footnote w:id="85">
    <w:p w14:paraId="15C2234D" w14:textId="77777777" w:rsidR="006A62B6" w:rsidRPr="005A2074" w:rsidRDefault="006A62B6">
      <w:pPr>
        <w:pStyle w:val="FootnoteText"/>
      </w:pPr>
      <w:r>
        <w:rPr>
          <w:rStyle w:val="FootnoteReference"/>
        </w:rPr>
        <w:footnoteRef/>
      </w:r>
      <w:r>
        <w:t xml:space="preserve"> </w:t>
      </w:r>
      <w:r w:rsidRPr="002164D6">
        <w:rPr>
          <w:rFonts w:ascii="Arial" w:hAnsi="Arial" w:cs="Arial"/>
          <w:sz w:val="16"/>
          <w:szCs w:val="16"/>
        </w:rPr>
        <w:t>ILO Green Jobs Programme (201</w:t>
      </w:r>
      <w:r>
        <w:rPr>
          <w:rFonts w:ascii="Arial" w:hAnsi="Arial" w:cs="Arial"/>
          <w:sz w:val="16"/>
          <w:szCs w:val="16"/>
        </w:rPr>
        <w:t>5</w:t>
      </w:r>
      <w:r w:rsidRPr="002164D6">
        <w:rPr>
          <w:rFonts w:ascii="Arial" w:hAnsi="Arial" w:cs="Arial"/>
          <w:sz w:val="16"/>
          <w:szCs w:val="16"/>
        </w:rPr>
        <w:t>)</w:t>
      </w:r>
      <w:r>
        <w:rPr>
          <w:rFonts w:ascii="Arial" w:hAnsi="Arial" w:cs="Arial"/>
          <w:sz w:val="16"/>
          <w:szCs w:val="16"/>
        </w:rPr>
        <w:t xml:space="preserve"> and</w:t>
      </w:r>
      <w:r w:rsidRPr="005A2074">
        <w:rPr>
          <w:rFonts w:ascii="Arial" w:hAnsi="Arial" w:cs="Arial"/>
          <w:sz w:val="16"/>
          <w:szCs w:val="16"/>
        </w:rPr>
        <w:t xml:space="preserve"> </w:t>
      </w:r>
      <w:r w:rsidRPr="002164D6">
        <w:rPr>
          <w:rFonts w:ascii="Arial" w:hAnsi="Arial" w:cs="Arial"/>
          <w:sz w:val="16"/>
          <w:szCs w:val="16"/>
        </w:rPr>
        <w:t>ILO (2017c)</w:t>
      </w:r>
    </w:p>
  </w:footnote>
  <w:footnote w:id="86">
    <w:p w14:paraId="3E4BDDE5" w14:textId="77777777" w:rsidR="006A62B6" w:rsidRPr="002164D6" w:rsidRDefault="006A62B6" w:rsidP="00076E1B">
      <w:pPr>
        <w:pStyle w:val="FootnoteText"/>
        <w:rPr>
          <w:rFonts w:ascii="Arial" w:hAnsi="Arial" w:cs="Arial"/>
          <w:sz w:val="16"/>
          <w:szCs w:val="16"/>
        </w:rPr>
      </w:pPr>
      <w:r w:rsidRPr="002164D6">
        <w:rPr>
          <w:rStyle w:val="FootnoteReference"/>
          <w:rFonts w:ascii="Arial" w:hAnsi="Arial" w:cs="Arial"/>
          <w:sz w:val="16"/>
          <w:szCs w:val="16"/>
        </w:rPr>
        <w:footnoteRef/>
      </w:r>
      <w:r w:rsidRPr="002164D6">
        <w:rPr>
          <w:rFonts w:ascii="Arial" w:hAnsi="Arial" w:cs="Arial"/>
          <w:sz w:val="16"/>
          <w:szCs w:val="16"/>
        </w:rPr>
        <w:t xml:space="preserve"> ILO Green Jobs Programme (201</w:t>
      </w:r>
      <w:r>
        <w:rPr>
          <w:rFonts w:ascii="Arial" w:hAnsi="Arial" w:cs="Arial"/>
          <w:sz w:val="16"/>
          <w:szCs w:val="16"/>
        </w:rPr>
        <w:t>5</w:t>
      </w:r>
      <w:r w:rsidRPr="002164D6">
        <w:rPr>
          <w:rFonts w:ascii="Arial" w:hAnsi="Arial" w:cs="Arial"/>
          <w:sz w:val="16"/>
          <w:szCs w:val="16"/>
        </w:rPr>
        <w:t>)</w:t>
      </w:r>
    </w:p>
  </w:footnote>
  <w:footnote w:id="87">
    <w:p w14:paraId="7F8C74C7" w14:textId="77777777" w:rsidR="006A62B6" w:rsidRPr="002164D6" w:rsidRDefault="006A62B6" w:rsidP="00076E1B">
      <w:pPr>
        <w:pStyle w:val="FootnoteText"/>
        <w:rPr>
          <w:rFonts w:ascii="Arial" w:hAnsi="Arial" w:cs="Arial"/>
          <w:sz w:val="16"/>
          <w:szCs w:val="16"/>
        </w:rPr>
      </w:pPr>
      <w:r w:rsidRPr="002164D6">
        <w:rPr>
          <w:rStyle w:val="FootnoteReference"/>
          <w:rFonts w:ascii="Arial" w:hAnsi="Arial" w:cs="Arial"/>
          <w:sz w:val="16"/>
          <w:szCs w:val="16"/>
        </w:rPr>
        <w:footnoteRef/>
      </w:r>
      <w:r w:rsidRPr="002164D6">
        <w:rPr>
          <w:rFonts w:ascii="Arial" w:hAnsi="Arial" w:cs="Arial"/>
          <w:sz w:val="16"/>
          <w:szCs w:val="16"/>
        </w:rPr>
        <w:t xml:space="preserve"> ILO (2017c)</w:t>
      </w:r>
    </w:p>
  </w:footnote>
  <w:footnote w:id="88">
    <w:p w14:paraId="7483E6D2" w14:textId="77777777" w:rsidR="006A62B6" w:rsidRPr="008C657C" w:rsidRDefault="006A62B6">
      <w:pPr>
        <w:pStyle w:val="FootnoteText"/>
        <w:rPr>
          <w:rFonts w:ascii="Arial" w:hAnsi="Arial" w:cs="Arial"/>
          <w:sz w:val="16"/>
          <w:szCs w:val="16"/>
        </w:rPr>
      </w:pPr>
      <w:r w:rsidRPr="006E4500">
        <w:rPr>
          <w:rStyle w:val="FootnoteReference"/>
          <w:rFonts w:ascii="Arial" w:hAnsi="Arial" w:cs="Arial"/>
          <w:sz w:val="16"/>
          <w:szCs w:val="16"/>
        </w:rPr>
        <w:footnoteRef/>
      </w:r>
      <w:r w:rsidRPr="008C657C">
        <w:rPr>
          <w:rFonts w:ascii="Arial" w:hAnsi="Arial" w:cs="Arial"/>
          <w:sz w:val="16"/>
          <w:szCs w:val="16"/>
        </w:rPr>
        <w:t xml:space="preserve"> ILO (2015c)</w:t>
      </w:r>
    </w:p>
  </w:footnote>
  <w:footnote w:id="89">
    <w:p w14:paraId="7BA8DCF3" w14:textId="77777777" w:rsidR="006A62B6" w:rsidRPr="009B3AF4" w:rsidRDefault="006A62B6" w:rsidP="003D2542">
      <w:pPr>
        <w:pStyle w:val="FootnoteText"/>
      </w:pPr>
      <w:r w:rsidRPr="000E0C38">
        <w:rPr>
          <w:rStyle w:val="FootnoteReference"/>
          <w:rFonts w:ascii="Arial" w:hAnsi="Arial" w:cs="Arial"/>
          <w:sz w:val="16"/>
          <w:szCs w:val="16"/>
        </w:rPr>
        <w:footnoteRef/>
      </w:r>
      <w:r w:rsidRPr="000E0C38">
        <w:rPr>
          <w:rStyle w:val="FootnoteReference"/>
        </w:rPr>
        <w:t xml:space="preserve"> </w:t>
      </w:r>
      <w:r w:rsidRPr="009B3AF4">
        <w:rPr>
          <w:rFonts w:ascii="Arial" w:hAnsi="Arial" w:cs="Arial"/>
          <w:sz w:val="16"/>
          <w:szCs w:val="16"/>
        </w:rPr>
        <w:t>Dang and Low</w:t>
      </w:r>
      <w:r>
        <w:rPr>
          <w:rFonts w:ascii="Arial" w:hAnsi="Arial" w:cs="Arial"/>
          <w:sz w:val="16"/>
          <w:szCs w:val="16"/>
        </w:rPr>
        <w:t xml:space="preserve"> (</w:t>
      </w:r>
      <w:r w:rsidRPr="009B3AF4">
        <w:rPr>
          <w:rFonts w:ascii="Arial" w:hAnsi="Arial" w:cs="Arial"/>
          <w:sz w:val="16"/>
          <w:szCs w:val="16"/>
        </w:rPr>
        <w:t>2011</w:t>
      </w:r>
      <w:r>
        <w:rPr>
          <w:rFonts w:ascii="Arial" w:hAnsi="Arial" w:cs="Arial"/>
          <w:sz w:val="16"/>
          <w:szCs w:val="16"/>
        </w:rPr>
        <w:t>)</w:t>
      </w:r>
    </w:p>
  </w:footnote>
  <w:footnote w:id="90">
    <w:p w14:paraId="18316385" w14:textId="77777777" w:rsidR="006A62B6" w:rsidRPr="009B3AF4" w:rsidRDefault="006A62B6" w:rsidP="003D2542">
      <w:pPr>
        <w:pStyle w:val="FootnoteText"/>
      </w:pPr>
      <w:r w:rsidRPr="000E0C38">
        <w:rPr>
          <w:rStyle w:val="FootnoteReference"/>
          <w:rFonts w:ascii="Arial" w:hAnsi="Arial" w:cs="Arial"/>
          <w:sz w:val="16"/>
          <w:szCs w:val="16"/>
        </w:rPr>
        <w:footnoteRef/>
      </w:r>
      <w:r w:rsidRPr="000E0C38">
        <w:rPr>
          <w:rStyle w:val="FootnoteReference"/>
        </w:rPr>
        <w:t xml:space="preserve"> </w:t>
      </w:r>
      <w:proofErr w:type="spellStart"/>
      <w:r w:rsidRPr="009B3AF4">
        <w:rPr>
          <w:rFonts w:ascii="Arial" w:hAnsi="Arial" w:cs="Arial"/>
          <w:sz w:val="16"/>
          <w:szCs w:val="16"/>
        </w:rPr>
        <w:t>Coban</w:t>
      </w:r>
      <w:proofErr w:type="spellEnd"/>
      <w:r w:rsidRPr="009B3AF4">
        <w:rPr>
          <w:rFonts w:ascii="Arial" w:hAnsi="Arial" w:cs="Arial"/>
          <w:sz w:val="16"/>
          <w:szCs w:val="16"/>
        </w:rPr>
        <w:t xml:space="preserve"> et al</w:t>
      </w:r>
      <w:r>
        <w:rPr>
          <w:rFonts w:ascii="Arial" w:hAnsi="Arial" w:cs="Arial"/>
          <w:sz w:val="16"/>
          <w:szCs w:val="16"/>
        </w:rPr>
        <w:t>. (</w:t>
      </w:r>
      <w:r w:rsidRPr="009B3AF4">
        <w:rPr>
          <w:rFonts w:ascii="Arial" w:hAnsi="Arial" w:cs="Arial"/>
          <w:sz w:val="16"/>
          <w:szCs w:val="16"/>
        </w:rPr>
        <w:t>2015)</w:t>
      </w:r>
    </w:p>
  </w:footnote>
  <w:footnote w:id="91">
    <w:p w14:paraId="75177125" w14:textId="35902625" w:rsidR="006A62B6" w:rsidRPr="006E54C9" w:rsidRDefault="006A62B6" w:rsidP="003130F5">
      <w:pPr>
        <w:pStyle w:val="FootnoteText"/>
        <w:rPr>
          <w:rFonts w:ascii="Arial" w:hAnsi="Arial" w:cs="Arial"/>
          <w:sz w:val="16"/>
          <w:szCs w:val="16"/>
        </w:rPr>
      </w:pPr>
      <w:r w:rsidRPr="006E54C9">
        <w:rPr>
          <w:rStyle w:val="FootnoteReference"/>
          <w:rFonts w:ascii="Arial" w:hAnsi="Arial" w:cs="Arial"/>
          <w:sz w:val="16"/>
          <w:szCs w:val="16"/>
        </w:rPr>
        <w:footnoteRef/>
      </w:r>
      <w:r w:rsidRPr="006E54C9">
        <w:rPr>
          <w:rFonts w:ascii="Arial" w:hAnsi="Arial" w:cs="Arial"/>
          <w:sz w:val="16"/>
          <w:szCs w:val="16"/>
        </w:rPr>
        <w:t xml:space="preserve"> </w:t>
      </w:r>
      <w:proofErr w:type="spellStart"/>
      <w:r>
        <w:rPr>
          <w:rFonts w:ascii="Arial" w:hAnsi="Arial" w:cs="Arial"/>
          <w:sz w:val="16"/>
          <w:szCs w:val="16"/>
        </w:rPr>
        <w:t>Wibowo</w:t>
      </w:r>
      <w:proofErr w:type="spellEnd"/>
      <w:r>
        <w:rPr>
          <w:rFonts w:ascii="Arial" w:hAnsi="Arial" w:cs="Arial"/>
          <w:sz w:val="16"/>
          <w:szCs w:val="16"/>
        </w:rPr>
        <w:t xml:space="preserve"> (2009)</w:t>
      </w:r>
    </w:p>
  </w:footnote>
  <w:footnote w:id="92">
    <w:p w14:paraId="0CBA886F" w14:textId="7C957DF3" w:rsidR="006A62B6" w:rsidRPr="005524B7" w:rsidRDefault="006A62B6">
      <w:pPr>
        <w:pStyle w:val="FootnoteText"/>
      </w:pPr>
      <w:r w:rsidRPr="000E0C38">
        <w:rPr>
          <w:rStyle w:val="FootnoteReference"/>
          <w:rFonts w:ascii="Arial" w:hAnsi="Arial" w:cs="Arial"/>
          <w:sz w:val="16"/>
          <w:szCs w:val="16"/>
        </w:rPr>
        <w:footnoteRef/>
      </w:r>
      <w:r>
        <w:t xml:space="preserve"> </w:t>
      </w:r>
      <w:proofErr w:type="spellStart"/>
      <w:r w:rsidRPr="00681A42">
        <w:rPr>
          <w:rFonts w:ascii="Arial" w:hAnsi="Arial" w:cs="Arial"/>
          <w:sz w:val="16"/>
          <w:szCs w:val="16"/>
        </w:rPr>
        <w:t>Coban</w:t>
      </w:r>
      <w:proofErr w:type="spellEnd"/>
      <w:r w:rsidRPr="00681A42">
        <w:rPr>
          <w:rFonts w:ascii="Arial" w:hAnsi="Arial" w:cs="Arial"/>
          <w:sz w:val="16"/>
          <w:szCs w:val="16"/>
        </w:rPr>
        <w:t xml:space="preserve"> et al</w:t>
      </w:r>
      <w:r>
        <w:rPr>
          <w:rFonts w:ascii="Arial" w:hAnsi="Arial" w:cs="Arial"/>
          <w:sz w:val="16"/>
          <w:szCs w:val="16"/>
        </w:rPr>
        <w:t>. (</w:t>
      </w:r>
      <w:r w:rsidRPr="00681A42">
        <w:rPr>
          <w:rFonts w:ascii="Arial" w:hAnsi="Arial" w:cs="Arial"/>
          <w:sz w:val="16"/>
          <w:szCs w:val="16"/>
        </w:rPr>
        <w:t>2015)</w:t>
      </w:r>
    </w:p>
  </w:footnote>
  <w:footnote w:id="93">
    <w:p w14:paraId="6F864850" w14:textId="77777777" w:rsidR="006A62B6" w:rsidRPr="009B3AF4" w:rsidRDefault="006A62B6" w:rsidP="002636F2">
      <w:pPr>
        <w:pStyle w:val="FootnoteText"/>
      </w:pPr>
      <w:r w:rsidRPr="000E0C38">
        <w:rPr>
          <w:rStyle w:val="FootnoteReference"/>
          <w:rFonts w:ascii="Arial" w:hAnsi="Arial" w:cs="Arial"/>
          <w:sz w:val="16"/>
          <w:szCs w:val="16"/>
        </w:rPr>
        <w:footnoteRef/>
      </w:r>
      <w:r>
        <w:t xml:space="preserve"> </w:t>
      </w:r>
      <w:r w:rsidRPr="009B3AF4">
        <w:rPr>
          <w:rFonts w:ascii="Arial" w:hAnsi="Arial" w:cs="Arial"/>
          <w:sz w:val="16"/>
          <w:szCs w:val="16"/>
        </w:rPr>
        <w:t xml:space="preserve">See Ramachandra T., &amp; </w:t>
      </w:r>
      <w:proofErr w:type="spellStart"/>
      <w:r w:rsidRPr="009B3AF4">
        <w:rPr>
          <w:rFonts w:ascii="Arial" w:hAnsi="Arial" w:cs="Arial"/>
          <w:sz w:val="16"/>
          <w:szCs w:val="16"/>
        </w:rPr>
        <w:t>Rameezdeen</w:t>
      </w:r>
      <w:proofErr w:type="spellEnd"/>
      <w:r w:rsidRPr="009B3AF4">
        <w:rPr>
          <w:rFonts w:ascii="Arial" w:hAnsi="Arial" w:cs="Arial"/>
          <w:sz w:val="16"/>
          <w:szCs w:val="16"/>
        </w:rPr>
        <w:t xml:space="preserve"> R. (2006)</w:t>
      </w:r>
    </w:p>
  </w:footnote>
  <w:footnote w:id="94">
    <w:p w14:paraId="0D911F80" w14:textId="77777777" w:rsidR="006A62B6" w:rsidRPr="00A15F9C" w:rsidRDefault="006A62B6" w:rsidP="002636F2">
      <w:pPr>
        <w:pStyle w:val="FootnoteText"/>
      </w:pPr>
      <w:r w:rsidRPr="006E54C9">
        <w:rPr>
          <w:rStyle w:val="FootnoteReference"/>
          <w:rFonts w:ascii="Arial" w:hAnsi="Arial" w:cs="Arial"/>
          <w:sz w:val="16"/>
          <w:szCs w:val="16"/>
        </w:rPr>
        <w:footnoteRef/>
      </w:r>
      <w:r w:rsidRPr="00A15F9C">
        <w:rPr>
          <w:rFonts w:ascii="Arial" w:hAnsi="Arial" w:cs="Arial"/>
          <w:sz w:val="16"/>
          <w:szCs w:val="16"/>
        </w:rPr>
        <w:t xml:space="preserve"> </w:t>
      </w:r>
      <w:proofErr w:type="spellStart"/>
      <w:r w:rsidRPr="00A15F9C">
        <w:rPr>
          <w:rFonts w:ascii="Arial" w:hAnsi="Arial" w:cs="Arial"/>
          <w:sz w:val="16"/>
          <w:szCs w:val="16"/>
        </w:rPr>
        <w:t>Dlamini</w:t>
      </w:r>
      <w:proofErr w:type="spellEnd"/>
      <w:r w:rsidRPr="00A15F9C">
        <w:rPr>
          <w:rFonts w:ascii="Arial" w:hAnsi="Arial" w:cs="Arial"/>
          <w:sz w:val="16"/>
          <w:szCs w:val="16"/>
        </w:rPr>
        <w:t xml:space="preserve"> (</w:t>
      </w:r>
      <w:r>
        <w:rPr>
          <w:rFonts w:ascii="Arial" w:hAnsi="Arial" w:cs="Arial"/>
          <w:sz w:val="16"/>
          <w:szCs w:val="16"/>
        </w:rPr>
        <w:t>2012</w:t>
      </w:r>
      <w:r w:rsidRPr="00A15F9C">
        <w:rPr>
          <w:rFonts w:ascii="Arial" w:hAnsi="Arial" w:cs="Arial"/>
          <w:sz w:val="16"/>
          <w:szCs w:val="16"/>
        </w:rPr>
        <w:t>)</w:t>
      </w:r>
    </w:p>
  </w:footnote>
  <w:footnote w:id="95">
    <w:p w14:paraId="501F9B55" w14:textId="72DEAEB0" w:rsidR="006A62B6" w:rsidRPr="00681A42" w:rsidRDefault="006A62B6" w:rsidP="00604561">
      <w:pPr>
        <w:pStyle w:val="FootnoteText"/>
      </w:pPr>
      <w:r>
        <w:rPr>
          <w:rStyle w:val="FootnoteReference"/>
        </w:rPr>
        <w:footnoteRef/>
      </w:r>
      <w:r>
        <w:t xml:space="preserve"> </w:t>
      </w:r>
      <w:r w:rsidRPr="00681A42">
        <w:rPr>
          <w:rFonts w:ascii="Arial" w:hAnsi="Arial" w:cs="Arial"/>
          <w:sz w:val="16"/>
          <w:szCs w:val="16"/>
        </w:rPr>
        <w:t>See</w:t>
      </w:r>
      <w:r>
        <w:t xml:space="preserve"> </w:t>
      </w:r>
      <w:proofErr w:type="spellStart"/>
      <w:r w:rsidRPr="00681A42">
        <w:rPr>
          <w:rFonts w:ascii="Arial" w:hAnsi="Arial" w:cs="Arial"/>
          <w:sz w:val="16"/>
          <w:szCs w:val="16"/>
        </w:rPr>
        <w:t>Osei</w:t>
      </w:r>
      <w:proofErr w:type="spellEnd"/>
      <w:r w:rsidRPr="00681A42">
        <w:rPr>
          <w:rFonts w:ascii="Arial" w:hAnsi="Arial" w:cs="Arial"/>
          <w:sz w:val="16"/>
          <w:szCs w:val="16"/>
        </w:rPr>
        <w:t xml:space="preserve"> (2013)</w:t>
      </w:r>
      <w:r>
        <w:rPr>
          <w:rFonts w:ascii="Arial" w:hAnsi="Arial" w:cs="Arial"/>
          <w:sz w:val="16"/>
          <w:szCs w:val="16"/>
        </w:rPr>
        <w:t xml:space="preserve">, </w:t>
      </w:r>
      <w:r w:rsidRPr="0056084E">
        <w:rPr>
          <w:rFonts w:ascii="Arial" w:hAnsi="Arial" w:cs="Arial"/>
          <w:sz w:val="16"/>
          <w:szCs w:val="16"/>
        </w:rPr>
        <w:t>El-</w:t>
      </w:r>
      <w:proofErr w:type="spellStart"/>
      <w:r w:rsidRPr="0056084E">
        <w:rPr>
          <w:rFonts w:ascii="Arial" w:hAnsi="Arial" w:cs="Arial"/>
          <w:sz w:val="16"/>
          <w:szCs w:val="16"/>
        </w:rPr>
        <w:t>namrouty</w:t>
      </w:r>
      <w:proofErr w:type="spellEnd"/>
      <w:r w:rsidRPr="0056084E">
        <w:rPr>
          <w:rFonts w:ascii="Arial" w:hAnsi="Arial" w:cs="Arial"/>
          <w:sz w:val="16"/>
          <w:szCs w:val="16"/>
        </w:rPr>
        <w:t xml:space="preserve"> (2012)</w:t>
      </w:r>
      <w:r>
        <w:rPr>
          <w:rFonts w:ascii="Arial" w:hAnsi="Arial" w:cs="Arial"/>
          <w:sz w:val="16"/>
          <w:szCs w:val="16"/>
        </w:rPr>
        <w:t xml:space="preserve">, </w:t>
      </w:r>
      <w:proofErr w:type="spellStart"/>
      <w:r w:rsidRPr="0056084E">
        <w:rPr>
          <w:rFonts w:ascii="Arial" w:hAnsi="Arial" w:cs="Arial"/>
          <w:sz w:val="16"/>
          <w:szCs w:val="16"/>
        </w:rPr>
        <w:t>Wibowo</w:t>
      </w:r>
      <w:proofErr w:type="spellEnd"/>
      <w:r w:rsidRPr="0056084E">
        <w:rPr>
          <w:rFonts w:ascii="Arial" w:hAnsi="Arial" w:cs="Arial"/>
          <w:sz w:val="16"/>
          <w:szCs w:val="16"/>
        </w:rPr>
        <w:t xml:space="preserve"> (2009)</w:t>
      </w:r>
      <w:r>
        <w:rPr>
          <w:rFonts w:ascii="Arial" w:hAnsi="Arial" w:cs="Arial"/>
          <w:sz w:val="16"/>
          <w:szCs w:val="16"/>
        </w:rPr>
        <w:t xml:space="preserve"> respectively</w:t>
      </w:r>
    </w:p>
  </w:footnote>
  <w:footnote w:id="96">
    <w:p w14:paraId="3FA7C153" w14:textId="77777777" w:rsidR="006A62B6" w:rsidRPr="006A62B6" w:rsidRDefault="006A62B6">
      <w:pPr>
        <w:pStyle w:val="FootnoteText"/>
        <w:rPr>
          <w:sz w:val="16"/>
          <w:szCs w:val="16"/>
        </w:rPr>
      </w:pPr>
      <w:r w:rsidRPr="006A62B6">
        <w:rPr>
          <w:rStyle w:val="FootnoteReference"/>
          <w:sz w:val="16"/>
          <w:szCs w:val="16"/>
        </w:rPr>
        <w:footnoteRef/>
      </w:r>
      <w:r w:rsidRPr="006A62B6">
        <w:rPr>
          <w:sz w:val="16"/>
          <w:szCs w:val="16"/>
        </w:rPr>
        <w:t xml:space="preserve"> </w:t>
      </w:r>
      <w:r w:rsidRPr="006A62B6">
        <w:rPr>
          <w:rFonts w:ascii="Arial" w:hAnsi="Arial" w:cs="Arial"/>
          <w:sz w:val="16"/>
          <w:szCs w:val="16"/>
        </w:rPr>
        <w:t>ILO (2015e)</w:t>
      </w:r>
    </w:p>
  </w:footnote>
  <w:footnote w:id="97">
    <w:p w14:paraId="53F3DE72" w14:textId="03CAF461" w:rsidR="006A62B6" w:rsidRPr="006A62B6" w:rsidRDefault="006A62B6" w:rsidP="003B49BA">
      <w:pPr>
        <w:pStyle w:val="FootnoteText"/>
        <w:rPr>
          <w:rFonts w:ascii="Arial" w:hAnsi="Arial" w:cs="Arial"/>
          <w:sz w:val="16"/>
          <w:szCs w:val="16"/>
        </w:rPr>
      </w:pPr>
      <w:r w:rsidRPr="006A62B6">
        <w:rPr>
          <w:rStyle w:val="FootnoteReference"/>
          <w:rFonts w:ascii="Arial" w:hAnsi="Arial" w:cs="Arial"/>
          <w:sz w:val="16"/>
          <w:szCs w:val="16"/>
        </w:rPr>
        <w:footnoteRef/>
      </w:r>
      <w:r w:rsidRPr="006A62B6">
        <w:rPr>
          <w:rFonts w:ascii="Arial" w:hAnsi="Arial" w:cs="Arial"/>
          <w:sz w:val="16"/>
          <w:szCs w:val="16"/>
        </w:rPr>
        <w:t xml:space="preserve"> ILO (2015e)</w:t>
      </w:r>
    </w:p>
  </w:footnote>
  <w:footnote w:id="98">
    <w:p w14:paraId="71D86031" w14:textId="77777777" w:rsidR="006A62B6" w:rsidRPr="000E3DD7" w:rsidRDefault="006A62B6" w:rsidP="0086593F">
      <w:pPr>
        <w:pStyle w:val="FootnoteText"/>
      </w:pPr>
      <w:r w:rsidRPr="006A62B6">
        <w:rPr>
          <w:rStyle w:val="FootnoteReference"/>
          <w:sz w:val="16"/>
          <w:szCs w:val="16"/>
        </w:rPr>
        <w:footnoteRef/>
      </w:r>
      <w:r w:rsidRPr="006A62B6">
        <w:rPr>
          <w:sz w:val="16"/>
          <w:szCs w:val="16"/>
        </w:rPr>
        <w:t xml:space="preserve"> </w:t>
      </w:r>
      <w:r w:rsidRPr="006A62B6">
        <w:rPr>
          <w:rFonts w:ascii="Arial" w:hAnsi="Arial" w:cs="Arial"/>
          <w:sz w:val="16"/>
          <w:szCs w:val="16"/>
        </w:rPr>
        <w:t>Countries included were Morocco, Niger, Paraguay, Sri Lanka and South Africa</w:t>
      </w:r>
    </w:p>
  </w:footnote>
  <w:footnote w:id="99">
    <w:p w14:paraId="076D5FD9" w14:textId="77777777" w:rsidR="006A62B6" w:rsidRPr="008C657C" w:rsidRDefault="006A62B6" w:rsidP="00BE2D79">
      <w:pPr>
        <w:pStyle w:val="FootnoteText"/>
        <w:rPr>
          <w:rFonts w:ascii="Arial" w:hAnsi="Arial" w:cs="Arial"/>
          <w:sz w:val="16"/>
          <w:szCs w:val="16"/>
        </w:rPr>
      </w:pPr>
      <w:r w:rsidRPr="006E54C9">
        <w:rPr>
          <w:rStyle w:val="FootnoteReference"/>
          <w:rFonts w:ascii="Arial" w:hAnsi="Arial" w:cs="Arial"/>
          <w:sz w:val="16"/>
          <w:szCs w:val="16"/>
        </w:rPr>
        <w:footnoteRef/>
      </w:r>
      <w:r w:rsidRPr="008C657C">
        <w:rPr>
          <w:rFonts w:ascii="Arial" w:hAnsi="Arial" w:cs="Arial"/>
          <w:sz w:val="16"/>
          <w:szCs w:val="16"/>
        </w:rPr>
        <w:t xml:space="preserve"> Watts Bulletin (2010)</w:t>
      </w:r>
    </w:p>
  </w:footnote>
  <w:footnote w:id="100">
    <w:p w14:paraId="0A02B551" w14:textId="77777777" w:rsidR="006A62B6" w:rsidRPr="008C657C" w:rsidRDefault="006A62B6" w:rsidP="00497619">
      <w:pPr>
        <w:pStyle w:val="FootnoteText"/>
        <w:rPr>
          <w:rFonts w:ascii="Arial" w:hAnsi="Arial" w:cs="Arial"/>
          <w:sz w:val="16"/>
          <w:szCs w:val="16"/>
          <w:lang w:val="es-ES"/>
        </w:rPr>
      </w:pPr>
      <w:r w:rsidRPr="006E54C9">
        <w:rPr>
          <w:rStyle w:val="FootnoteReference"/>
          <w:rFonts w:ascii="Arial" w:hAnsi="Arial" w:cs="Arial"/>
          <w:sz w:val="16"/>
          <w:szCs w:val="16"/>
        </w:rPr>
        <w:footnoteRef/>
      </w:r>
      <w:r w:rsidRPr="008C657C">
        <w:rPr>
          <w:rFonts w:ascii="Arial" w:hAnsi="Arial" w:cs="Arial"/>
          <w:sz w:val="16"/>
          <w:szCs w:val="16"/>
          <w:lang w:val="es-ES"/>
        </w:rPr>
        <w:t xml:space="preserve"> </w:t>
      </w:r>
      <w:r w:rsidRPr="008C657C">
        <w:rPr>
          <w:rFonts w:ascii="Arial" w:hAnsi="Arial" w:cs="Arial"/>
          <w:sz w:val="16"/>
          <w:lang w:val="es-ES"/>
        </w:rPr>
        <w:t>ILO (2015e)</w:t>
      </w:r>
    </w:p>
  </w:footnote>
  <w:footnote w:id="101">
    <w:p w14:paraId="24F2A1B8" w14:textId="2CFDDC0F" w:rsidR="006A62B6" w:rsidRPr="008C657C" w:rsidRDefault="006A62B6" w:rsidP="00497619">
      <w:pPr>
        <w:pStyle w:val="FootnoteText"/>
        <w:rPr>
          <w:rFonts w:ascii="Arial" w:hAnsi="Arial" w:cs="Arial"/>
          <w:sz w:val="16"/>
          <w:szCs w:val="16"/>
          <w:lang w:val="es-ES"/>
        </w:rPr>
      </w:pPr>
      <w:r w:rsidRPr="006E54C9">
        <w:rPr>
          <w:rStyle w:val="FootnoteReference"/>
          <w:rFonts w:ascii="Arial" w:hAnsi="Arial" w:cs="Arial"/>
          <w:sz w:val="16"/>
          <w:szCs w:val="16"/>
        </w:rPr>
        <w:footnoteRef/>
      </w:r>
      <w:r w:rsidRPr="008C657C">
        <w:rPr>
          <w:rFonts w:ascii="Arial" w:hAnsi="Arial" w:cs="Arial"/>
          <w:sz w:val="16"/>
          <w:szCs w:val="16"/>
          <w:lang w:val="es-ES"/>
        </w:rPr>
        <w:t xml:space="preserve"> </w:t>
      </w:r>
      <w:proofErr w:type="spellStart"/>
      <w:r w:rsidR="007236AB" w:rsidRPr="008C657C">
        <w:rPr>
          <w:rFonts w:ascii="Arial" w:hAnsi="Arial" w:cs="Arial"/>
          <w:sz w:val="16"/>
          <w:szCs w:val="16"/>
          <w:lang w:val="es-ES"/>
        </w:rPr>
        <w:t>I</w:t>
      </w:r>
      <w:r w:rsidRPr="008C657C">
        <w:rPr>
          <w:rFonts w:ascii="Arial" w:hAnsi="Arial" w:cs="Arial"/>
          <w:sz w:val="16"/>
          <w:szCs w:val="16"/>
          <w:lang w:val="es-ES"/>
        </w:rPr>
        <w:t>bid</w:t>
      </w:r>
      <w:proofErr w:type="spellEnd"/>
      <w:r w:rsidR="007236AB">
        <w:rPr>
          <w:rFonts w:ascii="Arial" w:hAnsi="Arial" w:cs="Arial"/>
          <w:sz w:val="16"/>
          <w:szCs w:val="16"/>
          <w:lang w:val="es-ES"/>
        </w:rPr>
        <w:t xml:space="preserve">. </w:t>
      </w:r>
      <w:proofErr w:type="spellStart"/>
      <w:r w:rsidR="007236AB">
        <w:rPr>
          <w:rFonts w:ascii="Arial" w:hAnsi="Arial" w:cs="Arial"/>
          <w:sz w:val="16"/>
          <w:szCs w:val="16"/>
          <w:lang w:val="es-ES"/>
        </w:rPr>
        <w:t>Sectors</w:t>
      </w:r>
      <w:proofErr w:type="spellEnd"/>
      <w:r w:rsidR="007236AB">
        <w:rPr>
          <w:rFonts w:ascii="Arial" w:hAnsi="Arial" w:cs="Arial"/>
          <w:sz w:val="16"/>
          <w:szCs w:val="16"/>
          <w:lang w:val="es-ES"/>
        </w:rPr>
        <w:t xml:space="preserve"> </w:t>
      </w:r>
      <w:proofErr w:type="spellStart"/>
      <w:r w:rsidR="007236AB">
        <w:rPr>
          <w:rFonts w:ascii="Arial" w:hAnsi="Arial" w:cs="Arial"/>
          <w:sz w:val="16"/>
          <w:szCs w:val="16"/>
          <w:lang w:val="es-ES"/>
        </w:rPr>
        <w:t>with</w:t>
      </w:r>
      <w:proofErr w:type="spellEnd"/>
      <w:r w:rsidR="007236AB">
        <w:rPr>
          <w:rFonts w:ascii="Arial" w:hAnsi="Arial" w:cs="Arial"/>
          <w:sz w:val="16"/>
          <w:szCs w:val="16"/>
          <w:lang w:val="es-ES"/>
        </w:rPr>
        <w:t xml:space="preserve"> </w:t>
      </w:r>
      <w:proofErr w:type="spellStart"/>
      <w:r w:rsidR="007236AB">
        <w:rPr>
          <w:rFonts w:ascii="Arial" w:hAnsi="Arial" w:cs="Arial"/>
          <w:sz w:val="16"/>
          <w:szCs w:val="16"/>
          <w:lang w:val="es-ES"/>
        </w:rPr>
        <w:t>higher</w:t>
      </w:r>
      <w:proofErr w:type="spellEnd"/>
      <w:r w:rsidR="007236AB">
        <w:rPr>
          <w:rFonts w:ascii="Arial" w:hAnsi="Arial" w:cs="Arial"/>
          <w:sz w:val="16"/>
          <w:szCs w:val="16"/>
          <w:lang w:val="es-ES"/>
        </w:rPr>
        <w:t xml:space="preserve"> output</w:t>
      </w:r>
      <w:bookmarkStart w:id="42" w:name="_GoBack"/>
      <w:bookmarkEnd w:id="42"/>
      <w:r w:rsidR="007236AB">
        <w:rPr>
          <w:rFonts w:ascii="Arial" w:hAnsi="Arial" w:cs="Arial"/>
          <w:sz w:val="16"/>
          <w:szCs w:val="16"/>
          <w:lang w:val="es-ES"/>
        </w:rPr>
        <w:t xml:space="preserve"> </w:t>
      </w:r>
      <w:proofErr w:type="spellStart"/>
      <w:r w:rsidR="007236AB">
        <w:rPr>
          <w:rFonts w:ascii="Arial" w:hAnsi="Arial" w:cs="Arial"/>
          <w:sz w:val="16"/>
          <w:szCs w:val="16"/>
          <w:lang w:val="es-ES"/>
        </w:rPr>
        <w:t>multipliers</w:t>
      </w:r>
      <w:proofErr w:type="spellEnd"/>
      <w:r w:rsidR="007236AB">
        <w:rPr>
          <w:rFonts w:ascii="Arial" w:hAnsi="Arial" w:cs="Arial"/>
          <w:sz w:val="16"/>
          <w:szCs w:val="16"/>
          <w:lang w:val="es-ES"/>
        </w:rPr>
        <w:t xml:space="preserve"> </w:t>
      </w:r>
      <w:proofErr w:type="spellStart"/>
      <w:r w:rsidR="007236AB">
        <w:rPr>
          <w:rFonts w:ascii="Arial" w:hAnsi="Arial" w:cs="Arial"/>
          <w:sz w:val="16"/>
          <w:szCs w:val="16"/>
          <w:lang w:val="es-ES"/>
        </w:rPr>
        <w:t>than</w:t>
      </w:r>
      <w:proofErr w:type="spellEnd"/>
      <w:r w:rsidR="007236AB">
        <w:rPr>
          <w:rFonts w:ascii="Arial" w:hAnsi="Arial" w:cs="Arial"/>
          <w:sz w:val="16"/>
          <w:szCs w:val="16"/>
          <w:lang w:val="es-ES"/>
        </w:rPr>
        <w:t xml:space="preserve"> </w:t>
      </w:r>
      <w:proofErr w:type="spellStart"/>
      <w:r w:rsidR="007236AB">
        <w:rPr>
          <w:rFonts w:ascii="Arial" w:hAnsi="Arial" w:cs="Arial"/>
          <w:sz w:val="16"/>
          <w:szCs w:val="16"/>
          <w:lang w:val="es-ES"/>
        </w:rPr>
        <w:t>construction</w:t>
      </w:r>
      <w:proofErr w:type="spellEnd"/>
      <w:r w:rsidR="007236AB">
        <w:rPr>
          <w:rFonts w:ascii="Arial" w:hAnsi="Arial" w:cs="Arial"/>
          <w:sz w:val="16"/>
          <w:szCs w:val="16"/>
          <w:lang w:val="es-ES"/>
        </w:rPr>
        <w:t xml:space="preserve"> in </w:t>
      </w:r>
      <w:proofErr w:type="spellStart"/>
      <w:r w:rsidR="007236AB">
        <w:rPr>
          <w:rFonts w:ascii="Arial" w:hAnsi="Arial" w:cs="Arial"/>
          <w:sz w:val="16"/>
          <w:szCs w:val="16"/>
          <w:lang w:val="es-ES"/>
        </w:rPr>
        <w:t>LICs</w:t>
      </w:r>
      <w:proofErr w:type="spellEnd"/>
      <w:r w:rsidR="007236AB">
        <w:rPr>
          <w:rFonts w:ascii="Arial" w:hAnsi="Arial" w:cs="Arial"/>
          <w:sz w:val="16"/>
          <w:szCs w:val="16"/>
          <w:lang w:val="es-ES"/>
        </w:rPr>
        <w:t xml:space="preserve"> </w:t>
      </w:r>
      <w:proofErr w:type="spellStart"/>
      <w:r w:rsidR="007236AB">
        <w:rPr>
          <w:rFonts w:ascii="Arial" w:hAnsi="Arial" w:cs="Arial"/>
          <w:sz w:val="16"/>
          <w:szCs w:val="16"/>
          <w:lang w:val="es-ES"/>
        </w:rPr>
        <w:t>not</w:t>
      </w:r>
      <w:proofErr w:type="spellEnd"/>
      <w:r w:rsidR="007236AB">
        <w:rPr>
          <w:rFonts w:ascii="Arial" w:hAnsi="Arial" w:cs="Arial"/>
          <w:sz w:val="16"/>
          <w:szCs w:val="16"/>
          <w:lang w:val="es-ES"/>
        </w:rPr>
        <w:t xml:space="preserve"> </w:t>
      </w:r>
      <w:proofErr w:type="spellStart"/>
      <w:r w:rsidR="007236AB">
        <w:rPr>
          <w:rFonts w:ascii="Arial" w:hAnsi="Arial" w:cs="Arial"/>
          <w:sz w:val="16"/>
          <w:szCs w:val="16"/>
          <w:lang w:val="es-ES"/>
        </w:rPr>
        <w:t>provided</w:t>
      </w:r>
      <w:proofErr w:type="spellEnd"/>
      <w:r w:rsidR="007236AB">
        <w:rPr>
          <w:rFonts w:ascii="Arial" w:hAnsi="Arial" w:cs="Arial"/>
          <w:sz w:val="16"/>
          <w:szCs w:val="16"/>
          <w:lang w:val="es-ES"/>
        </w:rPr>
        <w:t>.</w:t>
      </w:r>
      <w:r w:rsidRPr="008C657C">
        <w:rPr>
          <w:rFonts w:ascii="Arial" w:hAnsi="Arial" w:cs="Arial"/>
          <w:sz w:val="16"/>
          <w:szCs w:val="16"/>
          <w:lang w:val="es-ES"/>
        </w:rPr>
        <w:t xml:space="preserve"> </w:t>
      </w:r>
    </w:p>
  </w:footnote>
  <w:footnote w:id="102">
    <w:p w14:paraId="25D64326" w14:textId="77777777" w:rsidR="006A62B6" w:rsidRPr="006E54C9" w:rsidRDefault="006A62B6" w:rsidP="005E43BE">
      <w:pPr>
        <w:pStyle w:val="FootnoteText"/>
        <w:rPr>
          <w:rFonts w:ascii="Arial" w:hAnsi="Arial" w:cs="Arial"/>
          <w:sz w:val="16"/>
          <w:szCs w:val="16"/>
        </w:rPr>
      </w:pPr>
      <w:r w:rsidRPr="006E54C9">
        <w:rPr>
          <w:rStyle w:val="FootnoteReference"/>
          <w:rFonts w:ascii="Arial" w:hAnsi="Arial" w:cs="Arial"/>
          <w:sz w:val="16"/>
          <w:szCs w:val="16"/>
        </w:rPr>
        <w:footnoteRef/>
      </w:r>
      <w:r w:rsidRPr="006E54C9">
        <w:rPr>
          <w:rFonts w:ascii="Arial" w:hAnsi="Arial" w:cs="Arial"/>
          <w:sz w:val="16"/>
          <w:szCs w:val="16"/>
        </w:rPr>
        <w:t xml:space="preserve"> </w:t>
      </w:r>
      <w:r w:rsidRPr="006E4500">
        <w:rPr>
          <w:rFonts w:ascii="Arial" w:hAnsi="Arial" w:cs="Arial"/>
          <w:sz w:val="16"/>
          <w:szCs w:val="16"/>
        </w:rPr>
        <w:t>Lopes, Oliveira and Abreu (2011)</w:t>
      </w:r>
    </w:p>
  </w:footnote>
  <w:footnote w:id="103">
    <w:p w14:paraId="0B32D9A7" w14:textId="77777777" w:rsidR="006A62B6" w:rsidRPr="00A43DB5" w:rsidRDefault="006A62B6">
      <w:pPr>
        <w:pStyle w:val="FootnoteText"/>
        <w:rPr>
          <w:lang w:val="es-ES"/>
        </w:rPr>
      </w:pPr>
      <w:r w:rsidRPr="006E54C9">
        <w:rPr>
          <w:rStyle w:val="FootnoteReference"/>
          <w:rFonts w:ascii="Arial" w:hAnsi="Arial" w:cs="Arial"/>
          <w:sz w:val="16"/>
          <w:szCs w:val="16"/>
        </w:rPr>
        <w:footnoteRef/>
      </w:r>
      <w:r w:rsidRPr="00A43DB5">
        <w:rPr>
          <w:rFonts w:ascii="Arial" w:hAnsi="Arial" w:cs="Arial"/>
          <w:sz w:val="16"/>
          <w:szCs w:val="16"/>
          <w:lang w:val="es-ES"/>
        </w:rPr>
        <w:t xml:space="preserve"> ILO (2015f)</w:t>
      </w:r>
    </w:p>
  </w:footnote>
  <w:footnote w:id="104">
    <w:p w14:paraId="38D48BEC" w14:textId="77777777" w:rsidR="006A62B6" w:rsidRPr="00A43DB5" w:rsidRDefault="006A62B6">
      <w:pPr>
        <w:pStyle w:val="FootnoteText"/>
        <w:rPr>
          <w:rFonts w:ascii="Arial" w:hAnsi="Arial" w:cs="Arial"/>
          <w:sz w:val="16"/>
          <w:szCs w:val="16"/>
          <w:lang w:val="es-ES"/>
        </w:rPr>
      </w:pPr>
      <w:r w:rsidRPr="006E54C9">
        <w:rPr>
          <w:rStyle w:val="FootnoteReference"/>
          <w:rFonts w:ascii="Arial" w:hAnsi="Arial" w:cs="Arial"/>
          <w:sz w:val="16"/>
          <w:szCs w:val="16"/>
        </w:rPr>
        <w:footnoteRef/>
      </w:r>
      <w:r w:rsidRPr="00A43DB5">
        <w:rPr>
          <w:rFonts w:ascii="Arial" w:hAnsi="Arial" w:cs="Arial"/>
          <w:sz w:val="16"/>
          <w:szCs w:val="16"/>
          <w:lang w:val="es-ES"/>
        </w:rPr>
        <w:t xml:space="preserve"> ILO (2015g)</w:t>
      </w:r>
    </w:p>
  </w:footnote>
  <w:footnote w:id="105">
    <w:p w14:paraId="4D08B5AC" w14:textId="77777777" w:rsidR="006A62B6" w:rsidRPr="00A43DB5" w:rsidRDefault="006A62B6">
      <w:pPr>
        <w:pStyle w:val="FootnoteText"/>
        <w:rPr>
          <w:rFonts w:ascii="Arial" w:hAnsi="Arial" w:cs="Arial"/>
          <w:sz w:val="16"/>
          <w:szCs w:val="16"/>
          <w:lang w:val="es-ES"/>
        </w:rPr>
      </w:pPr>
      <w:r w:rsidRPr="006E54C9">
        <w:rPr>
          <w:rStyle w:val="FootnoteReference"/>
          <w:rFonts w:ascii="Arial" w:hAnsi="Arial" w:cs="Arial"/>
          <w:sz w:val="16"/>
          <w:szCs w:val="16"/>
        </w:rPr>
        <w:footnoteRef/>
      </w:r>
      <w:r w:rsidRPr="00A43DB5">
        <w:rPr>
          <w:rFonts w:ascii="Arial" w:hAnsi="Arial" w:cs="Arial"/>
          <w:sz w:val="16"/>
          <w:szCs w:val="16"/>
          <w:lang w:val="es-ES"/>
        </w:rPr>
        <w:t xml:space="preserve"> </w:t>
      </w:r>
      <w:proofErr w:type="spellStart"/>
      <w:r w:rsidRPr="00A43DB5">
        <w:rPr>
          <w:rFonts w:ascii="Arial" w:hAnsi="Arial" w:cs="Arial"/>
          <w:sz w:val="16"/>
          <w:szCs w:val="16"/>
          <w:lang w:val="es-ES"/>
        </w:rPr>
        <w:t>Antonopoulos</w:t>
      </w:r>
      <w:proofErr w:type="spellEnd"/>
      <w:r w:rsidRPr="00A43DB5">
        <w:rPr>
          <w:rFonts w:ascii="Arial" w:hAnsi="Arial" w:cs="Arial"/>
          <w:sz w:val="16"/>
          <w:szCs w:val="16"/>
          <w:lang w:val="es-ES"/>
        </w:rPr>
        <w:t xml:space="preserve"> (2009)</w:t>
      </w:r>
    </w:p>
  </w:footnote>
  <w:footnote w:id="106">
    <w:p w14:paraId="622E78A0" w14:textId="77777777" w:rsidR="006A62B6" w:rsidRPr="008C657C" w:rsidRDefault="006A62B6" w:rsidP="00675B3E">
      <w:pPr>
        <w:pStyle w:val="FootnoteText"/>
        <w:rPr>
          <w:rFonts w:ascii="Arial" w:hAnsi="Arial" w:cs="Arial"/>
          <w:sz w:val="16"/>
          <w:szCs w:val="16"/>
          <w:lang w:val="es-ES"/>
        </w:rPr>
      </w:pPr>
      <w:r w:rsidRPr="002164D6">
        <w:rPr>
          <w:rStyle w:val="FootnoteReference"/>
          <w:rFonts w:ascii="Arial" w:hAnsi="Arial" w:cs="Arial"/>
          <w:sz w:val="16"/>
          <w:szCs w:val="16"/>
        </w:rPr>
        <w:footnoteRef/>
      </w:r>
      <w:r w:rsidRPr="008C657C">
        <w:rPr>
          <w:rFonts w:ascii="Arial" w:hAnsi="Arial" w:cs="Arial"/>
          <w:sz w:val="16"/>
          <w:szCs w:val="16"/>
          <w:lang w:val="es-ES"/>
        </w:rPr>
        <w:t xml:space="preserve"> ILO (2017b)</w:t>
      </w:r>
    </w:p>
  </w:footnote>
  <w:footnote w:id="107">
    <w:p w14:paraId="2BD6769B" w14:textId="77777777" w:rsidR="006A62B6" w:rsidRPr="002164D6" w:rsidRDefault="006A62B6" w:rsidP="009011DE">
      <w:pPr>
        <w:pStyle w:val="FootnoteText"/>
        <w:rPr>
          <w:rFonts w:ascii="Arial" w:hAnsi="Arial" w:cs="Arial"/>
          <w:sz w:val="16"/>
          <w:szCs w:val="16"/>
          <w:lang w:val="es-ES"/>
        </w:rPr>
      </w:pPr>
      <w:r w:rsidRPr="002164D6">
        <w:rPr>
          <w:rStyle w:val="FootnoteReference"/>
          <w:rFonts w:ascii="Arial" w:hAnsi="Arial" w:cs="Arial"/>
          <w:sz w:val="16"/>
          <w:szCs w:val="16"/>
        </w:rPr>
        <w:footnoteRef/>
      </w:r>
      <w:r w:rsidRPr="002164D6">
        <w:rPr>
          <w:rFonts w:ascii="Arial" w:hAnsi="Arial" w:cs="Arial"/>
          <w:sz w:val="16"/>
          <w:szCs w:val="16"/>
          <w:lang w:val="es-ES"/>
        </w:rPr>
        <w:t xml:space="preserve"> ILO(2015c)</w:t>
      </w:r>
    </w:p>
  </w:footnote>
  <w:footnote w:id="108">
    <w:p w14:paraId="1FB20F46" w14:textId="5B4CC3EB" w:rsidR="006A62B6" w:rsidRPr="005524B7" w:rsidRDefault="006A62B6">
      <w:pPr>
        <w:pStyle w:val="FootnoteText"/>
      </w:pPr>
      <w:r w:rsidRPr="000E0C38">
        <w:rPr>
          <w:rStyle w:val="FootnoteReference"/>
          <w:rFonts w:ascii="Arial" w:hAnsi="Arial" w:cs="Arial"/>
          <w:sz w:val="16"/>
          <w:szCs w:val="16"/>
        </w:rPr>
        <w:footnoteRef/>
      </w:r>
      <w:r>
        <w:t xml:space="preserve"> </w:t>
      </w:r>
      <w:r w:rsidRPr="000E3DD7">
        <w:rPr>
          <w:rFonts w:ascii="Arial" w:hAnsi="Arial" w:cs="Arial"/>
          <w:sz w:val="16"/>
          <w:szCs w:val="16"/>
        </w:rPr>
        <w:t>Countries included were Morocco, Niger, Paraguay, Sri Lanka and South Africa</w:t>
      </w:r>
      <w:r>
        <w:rPr>
          <w:rFonts w:ascii="Arial" w:hAnsi="Arial" w:cs="Arial"/>
          <w:sz w:val="16"/>
          <w:szCs w:val="16"/>
        </w:rPr>
        <w:t xml:space="preserve"> – ILO (2015e)</w:t>
      </w:r>
    </w:p>
  </w:footnote>
  <w:footnote w:id="109">
    <w:p w14:paraId="412D4160" w14:textId="77777777" w:rsidR="006A62B6" w:rsidRPr="002164D6" w:rsidRDefault="006A62B6" w:rsidP="00D03842">
      <w:pPr>
        <w:pStyle w:val="FootnoteText"/>
        <w:rPr>
          <w:rFonts w:ascii="Arial" w:hAnsi="Arial" w:cs="Arial"/>
          <w:sz w:val="16"/>
          <w:szCs w:val="16"/>
          <w:lang w:val="es-ES"/>
        </w:rPr>
      </w:pPr>
      <w:r w:rsidRPr="002164D6">
        <w:rPr>
          <w:rStyle w:val="FootnoteReference"/>
          <w:rFonts w:ascii="Arial" w:hAnsi="Arial" w:cs="Arial"/>
          <w:sz w:val="16"/>
          <w:szCs w:val="16"/>
        </w:rPr>
        <w:footnoteRef/>
      </w:r>
      <w:r w:rsidRPr="002164D6">
        <w:rPr>
          <w:rFonts w:ascii="Arial" w:hAnsi="Arial" w:cs="Arial"/>
          <w:sz w:val="16"/>
          <w:szCs w:val="16"/>
          <w:lang w:val="es-ES"/>
        </w:rPr>
        <w:t xml:space="preserve"> ILO(2015e)</w:t>
      </w:r>
    </w:p>
  </w:footnote>
  <w:footnote w:id="110">
    <w:p w14:paraId="1A3C6949" w14:textId="77777777" w:rsidR="006A62B6" w:rsidRPr="002164D6" w:rsidRDefault="006A62B6">
      <w:pPr>
        <w:pStyle w:val="FootnoteText"/>
        <w:rPr>
          <w:rFonts w:ascii="Arial" w:hAnsi="Arial" w:cs="Arial"/>
          <w:sz w:val="16"/>
          <w:szCs w:val="16"/>
          <w:lang w:val="es-ES"/>
        </w:rPr>
      </w:pPr>
      <w:r w:rsidRPr="002164D6">
        <w:rPr>
          <w:rStyle w:val="FootnoteReference"/>
          <w:rFonts w:ascii="Arial" w:hAnsi="Arial" w:cs="Arial"/>
          <w:sz w:val="16"/>
          <w:szCs w:val="16"/>
        </w:rPr>
        <w:footnoteRef/>
      </w:r>
      <w:r w:rsidRPr="002164D6">
        <w:rPr>
          <w:rFonts w:ascii="Arial" w:hAnsi="Arial" w:cs="Arial"/>
          <w:sz w:val="16"/>
          <w:szCs w:val="16"/>
          <w:lang w:val="es-ES"/>
        </w:rPr>
        <w:t xml:space="preserve"> ILO(2015f)</w:t>
      </w:r>
    </w:p>
  </w:footnote>
  <w:footnote w:id="111">
    <w:p w14:paraId="1A9FCC38" w14:textId="77777777" w:rsidR="006A62B6" w:rsidRPr="008C657C" w:rsidRDefault="006A62B6">
      <w:pPr>
        <w:pStyle w:val="FootnoteText"/>
        <w:rPr>
          <w:rFonts w:ascii="Arial" w:hAnsi="Arial" w:cs="Arial"/>
          <w:sz w:val="16"/>
          <w:szCs w:val="16"/>
          <w:lang w:val="es-ES"/>
        </w:rPr>
      </w:pPr>
      <w:r w:rsidRPr="002164D6">
        <w:rPr>
          <w:rStyle w:val="FootnoteReference"/>
          <w:rFonts w:ascii="Arial" w:hAnsi="Arial" w:cs="Arial"/>
          <w:sz w:val="16"/>
          <w:szCs w:val="16"/>
        </w:rPr>
        <w:footnoteRef/>
      </w:r>
      <w:r w:rsidRPr="008C657C">
        <w:rPr>
          <w:rStyle w:val="FootnoteReference"/>
          <w:rFonts w:ascii="Arial" w:hAnsi="Arial" w:cs="Arial"/>
          <w:sz w:val="16"/>
          <w:szCs w:val="16"/>
          <w:lang w:val="es-ES"/>
        </w:rPr>
        <w:t xml:space="preserve"> </w:t>
      </w:r>
      <w:r w:rsidRPr="008C657C">
        <w:rPr>
          <w:rFonts w:ascii="Arial" w:hAnsi="Arial" w:cs="Arial"/>
          <w:sz w:val="16"/>
          <w:szCs w:val="16"/>
          <w:lang w:val="es-ES"/>
        </w:rPr>
        <w:t>ILO(2015e)</w:t>
      </w:r>
    </w:p>
  </w:footnote>
  <w:footnote w:id="112">
    <w:p w14:paraId="7F6A4ABE" w14:textId="77777777" w:rsidR="006A62B6" w:rsidRPr="008C657C" w:rsidRDefault="006A62B6">
      <w:pPr>
        <w:pStyle w:val="FootnoteText"/>
        <w:rPr>
          <w:lang w:val="es-ES"/>
        </w:rPr>
      </w:pPr>
      <w:r w:rsidRPr="002164D6">
        <w:rPr>
          <w:rStyle w:val="FootnoteReference"/>
          <w:rFonts w:ascii="Arial" w:hAnsi="Arial" w:cs="Arial"/>
          <w:sz w:val="16"/>
          <w:szCs w:val="16"/>
        </w:rPr>
        <w:footnoteRef/>
      </w:r>
      <w:r w:rsidRPr="008C657C">
        <w:rPr>
          <w:rFonts w:ascii="Arial" w:hAnsi="Arial" w:cs="Arial"/>
          <w:sz w:val="16"/>
          <w:szCs w:val="16"/>
          <w:lang w:val="es-ES"/>
        </w:rPr>
        <w:t>ILO(2015e)</w:t>
      </w:r>
      <w:r w:rsidRPr="008C657C">
        <w:rPr>
          <w:lang w:val="es-ES"/>
        </w:rPr>
        <w:t xml:space="preserve"> </w:t>
      </w:r>
    </w:p>
  </w:footnote>
  <w:footnote w:id="113">
    <w:p w14:paraId="2BC26964" w14:textId="77777777" w:rsidR="006A62B6" w:rsidRPr="008C657C" w:rsidRDefault="006A62B6" w:rsidP="00192733">
      <w:pPr>
        <w:pStyle w:val="FootnoteText"/>
        <w:rPr>
          <w:rFonts w:ascii="Arial" w:hAnsi="Arial" w:cs="Arial"/>
          <w:sz w:val="19"/>
          <w:szCs w:val="19"/>
          <w:lang w:val="es-ES"/>
        </w:rPr>
      </w:pPr>
      <w:r w:rsidRPr="00C03321">
        <w:rPr>
          <w:rStyle w:val="FootnoteReference"/>
          <w:rFonts w:ascii="Arial" w:hAnsi="Arial" w:cs="Arial"/>
          <w:sz w:val="19"/>
          <w:szCs w:val="19"/>
        </w:rPr>
        <w:footnoteRef/>
      </w:r>
      <w:r w:rsidRPr="008C657C">
        <w:rPr>
          <w:rFonts w:ascii="Arial" w:hAnsi="Arial" w:cs="Arial"/>
          <w:sz w:val="19"/>
          <w:szCs w:val="19"/>
          <w:lang w:val="es-ES"/>
        </w:rPr>
        <w:t xml:space="preserve"> </w:t>
      </w:r>
      <w:r w:rsidRPr="008C657C">
        <w:rPr>
          <w:rFonts w:ascii="Arial" w:hAnsi="Arial" w:cs="Arial"/>
          <w:sz w:val="16"/>
          <w:szCs w:val="16"/>
          <w:lang w:val="es-ES"/>
        </w:rPr>
        <w:t>OECD et al., (</w:t>
      </w:r>
      <w:proofErr w:type="spellStart"/>
      <w:r w:rsidRPr="008C657C">
        <w:rPr>
          <w:rFonts w:ascii="Arial" w:hAnsi="Arial" w:cs="Arial"/>
          <w:sz w:val="16"/>
          <w:szCs w:val="16"/>
          <w:lang w:val="es-ES"/>
        </w:rPr>
        <w:t>unknown</w:t>
      </w:r>
      <w:proofErr w:type="spellEnd"/>
      <w:r w:rsidRPr="008C657C">
        <w:rPr>
          <w:rFonts w:ascii="Arial" w:hAnsi="Arial" w:cs="Arial"/>
          <w:sz w:val="16"/>
          <w:szCs w:val="16"/>
          <w:lang w:val="es-ES"/>
        </w:rPr>
        <w:t>)</w:t>
      </w:r>
      <w:r w:rsidRPr="008C657C">
        <w:rPr>
          <w:rFonts w:ascii="Arial" w:hAnsi="Arial" w:cs="Arial"/>
          <w:sz w:val="19"/>
          <w:szCs w:val="19"/>
          <w:lang w:val="es-ES"/>
        </w:rPr>
        <w:t xml:space="preserve"> </w:t>
      </w:r>
    </w:p>
  </w:footnote>
  <w:footnote w:id="114">
    <w:p w14:paraId="5C51D94C" w14:textId="77777777" w:rsidR="006A62B6" w:rsidRPr="00C03321" w:rsidRDefault="006A62B6" w:rsidP="00192733">
      <w:pPr>
        <w:pStyle w:val="FootnoteText"/>
        <w:rPr>
          <w:rFonts w:ascii="Arial" w:hAnsi="Arial" w:cs="Arial"/>
          <w:sz w:val="19"/>
          <w:szCs w:val="19"/>
        </w:rPr>
      </w:pPr>
      <w:r w:rsidRPr="00C03321">
        <w:rPr>
          <w:rStyle w:val="FootnoteReference"/>
          <w:rFonts w:ascii="Arial" w:hAnsi="Arial" w:cs="Arial"/>
          <w:sz w:val="19"/>
          <w:szCs w:val="19"/>
        </w:rPr>
        <w:footnoteRef/>
      </w:r>
      <w:r w:rsidRPr="00C03321">
        <w:rPr>
          <w:rFonts w:ascii="Arial" w:hAnsi="Arial" w:cs="Arial"/>
          <w:sz w:val="19"/>
          <w:szCs w:val="19"/>
        </w:rPr>
        <w:t xml:space="preserve"> </w:t>
      </w:r>
      <w:r w:rsidRPr="008A3144">
        <w:rPr>
          <w:rFonts w:ascii="Arial" w:hAnsi="Arial" w:cs="Arial"/>
          <w:sz w:val="16"/>
          <w:szCs w:val="16"/>
        </w:rPr>
        <w:t xml:space="preserve">Bowen and </w:t>
      </w:r>
      <w:proofErr w:type="spellStart"/>
      <w:r w:rsidRPr="008A3144">
        <w:rPr>
          <w:rFonts w:ascii="Arial" w:hAnsi="Arial" w:cs="Arial"/>
          <w:sz w:val="16"/>
          <w:szCs w:val="16"/>
        </w:rPr>
        <w:t>Kuralbayeva</w:t>
      </w:r>
      <w:proofErr w:type="spellEnd"/>
      <w:r w:rsidRPr="008A3144">
        <w:rPr>
          <w:rFonts w:ascii="Arial" w:hAnsi="Arial" w:cs="Arial"/>
          <w:sz w:val="16"/>
          <w:szCs w:val="16"/>
        </w:rPr>
        <w:t>, 2015</w:t>
      </w:r>
    </w:p>
  </w:footnote>
  <w:footnote w:id="115">
    <w:p w14:paraId="4B0A2CBF" w14:textId="77777777" w:rsidR="006A62B6" w:rsidRPr="00C03321" w:rsidRDefault="006A62B6" w:rsidP="00192733">
      <w:pPr>
        <w:rPr>
          <w:rFonts w:ascii="Arial" w:hAnsi="Arial" w:cs="Arial"/>
          <w:sz w:val="19"/>
          <w:szCs w:val="19"/>
        </w:rPr>
      </w:pPr>
      <w:r w:rsidRPr="00C03321">
        <w:rPr>
          <w:rStyle w:val="FootnoteReference"/>
          <w:rFonts w:ascii="Arial" w:eastAsiaTheme="minorHAnsi" w:hAnsi="Arial" w:cs="Arial"/>
          <w:sz w:val="19"/>
          <w:szCs w:val="19"/>
        </w:rPr>
        <w:footnoteRef/>
      </w:r>
      <w:r w:rsidRPr="00C03321">
        <w:rPr>
          <w:rStyle w:val="FootnoteReference"/>
          <w:rFonts w:ascii="Arial" w:eastAsiaTheme="minorHAnsi" w:hAnsi="Arial" w:cs="Arial"/>
          <w:sz w:val="19"/>
          <w:szCs w:val="19"/>
        </w:rPr>
        <w:t xml:space="preserve"> </w:t>
      </w:r>
      <w:r w:rsidRPr="008A3144">
        <w:rPr>
          <w:rFonts w:ascii="Arial" w:hAnsi="Arial" w:cs="Arial"/>
          <w:sz w:val="16"/>
          <w:szCs w:val="16"/>
        </w:rPr>
        <w:t xml:space="preserve">Bowen and </w:t>
      </w:r>
      <w:proofErr w:type="spellStart"/>
      <w:r w:rsidRPr="008A3144">
        <w:rPr>
          <w:rFonts w:ascii="Arial" w:hAnsi="Arial" w:cs="Arial"/>
          <w:sz w:val="16"/>
          <w:szCs w:val="16"/>
        </w:rPr>
        <w:t>Kuralbayeva</w:t>
      </w:r>
      <w:proofErr w:type="spellEnd"/>
      <w:r w:rsidRPr="008A3144">
        <w:rPr>
          <w:rFonts w:ascii="Arial" w:hAnsi="Arial" w:cs="Arial"/>
          <w:sz w:val="16"/>
          <w:szCs w:val="16"/>
        </w:rPr>
        <w:t>, 2015</w:t>
      </w:r>
      <w:r w:rsidRPr="00C03321">
        <w:rPr>
          <w:rFonts w:ascii="Arial" w:hAnsi="Arial" w:cs="Arial"/>
          <w:sz w:val="19"/>
          <w:szCs w:val="19"/>
        </w:rPr>
        <w:t xml:space="preserve"> </w:t>
      </w:r>
    </w:p>
  </w:footnote>
  <w:footnote w:id="116">
    <w:p w14:paraId="60638A0E" w14:textId="77777777" w:rsidR="006A62B6" w:rsidRPr="00C03321" w:rsidRDefault="006A62B6" w:rsidP="00192733">
      <w:pPr>
        <w:pStyle w:val="FootnoteText"/>
        <w:rPr>
          <w:rFonts w:ascii="Arial" w:hAnsi="Arial" w:cs="Arial"/>
          <w:sz w:val="19"/>
          <w:szCs w:val="19"/>
        </w:rPr>
      </w:pPr>
      <w:r w:rsidRPr="00C03321">
        <w:rPr>
          <w:rStyle w:val="FootnoteReference"/>
          <w:rFonts w:ascii="Arial" w:hAnsi="Arial" w:cs="Arial"/>
          <w:sz w:val="19"/>
          <w:szCs w:val="19"/>
        </w:rPr>
        <w:footnoteRef/>
      </w:r>
      <w:r w:rsidRPr="00C03321">
        <w:rPr>
          <w:rFonts w:ascii="Arial" w:hAnsi="Arial" w:cs="Arial"/>
          <w:sz w:val="19"/>
          <w:szCs w:val="19"/>
        </w:rPr>
        <w:t xml:space="preserve"> </w:t>
      </w:r>
      <w:proofErr w:type="spellStart"/>
      <w:r w:rsidRPr="008A3144">
        <w:rPr>
          <w:rFonts w:ascii="Arial" w:hAnsi="Arial" w:cs="Arial"/>
          <w:sz w:val="16"/>
          <w:szCs w:val="16"/>
        </w:rPr>
        <w:t>Deschênes</w:t>
      </w:r>
      <w:proofErr w:type="spellEnd"/>
      <w:r w:rsidRPr="008A3144">
        <w:rPr>
          <w:rFonts w:ascii="Arial" w:hAnsi="Arial" w:cs="Arial"/>
          <w:sz w:val="16"/>
          <w:szCs w:val="16"/>
        </w:rPr>
        <w:t>, 2013</w:t>
      </w:r>
    </w:p>
  </w:footnote>
  <w:footnote w:id="117">
    <w:p w14:paraId="65B41FCA" w14:textId="77777777" w:rsidR="006A62B6" w:rsidRPr="006E54C9" w:rsidRDefault="006A62B6" w:rsidP="003F368F">
      <w:pPr>
        <w:pStyle w:val="FootnoteText"/>
        <w:rPr>
          <w:rFonts w:ascii="Arial" w:hAnsi="Arial" w:cs="Arial"/>
          <w:sz w:val="16"/>
          <w:szCs w:val="16"/>
        </w:rPr>
      </w:pPr>
      <w:r w:rsidRPr="006E54C9">
        <w:rPr>
          <w:rStyle w:val="FootnoteReference"/>
          <w:rFonts w:ascii="Arial" w:hAnsi="Arial" w:cs="Arial"/>
          <w:sz w:val="16"/>
          <w:szCs w:val="16"/>
        </w:rPr>
        <w:footnoteRef/>
      </w:r>
      <w:r w:rsidRPr="006E54C9">
        <w:rPr>
          <w:rFonts w:ascii="Arial" w:hAnsi="Arial" w:cs="Arial"/>
          <w:sz w:val="16"/>
          <w:szCs w:val="16"/>
        </w:rPr>
        <w:t xml:space="preserve"> McKinsey </w:t>
      </w:r>
      <w:r>
        <w:rPr>
          <w:rFonts w:ascii="Arial" w:hAnsi="Arial" w:cs="Arial"/>
          <w:sz w:val="16"/>
          <w:szCs w:val="16"/>
        </w:rPr>
        <w:t>and Company (2017)</w:t>
      </w:r>
    </w:p>
  </w:footnote>
  <w:footnote w:id="118">
    <w:p w14:paraId="4A346704" w14:textId="77777777" w:rsidR="006A62B6" w:rsidRPr="00FB2935" w:rsidRDefault="006A62B6">
      <w:pPr>
        <w:pStyle w:val="FootnoteText"/>
        <w:rPr>
          <w:rFonts w:ascii="Arial" w:hAnsi="Arial" w:cs="Arial"/>
          <w:sz w:val="16"/>
          <w:szCs w:val="16"/>
        </w:rPr>
      </w:pPr>
      <w:r w:rsidRPr="00FB2935">
        <w:rPr>
          <w:rStyle w:val="FootnoteReference"/>
          <w:rFonts w:ascii="Arial" w:hAnsi="Arial" w:cs="Arial"/>
          <w:sz w:val="16"/>
          <w:szCs w:val="16"/>
        </w:rPr>
        <w:footnoteRef/>
      </w:r>
      <w:r w:rsidRPr="00FB2935">
        <w:rPr>
          <w:rFonts w:ascii="Arial" w:hAnsi="Arial" w:cs="Arial"/>
          <w:sz w:val="16"/>
          <w:szCs w:val="16"/>
        </w:rPr>
        <w:t xml:space="preserve"> The main reason for employing local labour is cheaper labour costs. It is estimated that it is five times more expensive to take a Chinese worker to Africa than it is to hire locally.</w:t>
      </w:r>
    </w:p>
  </w:footnote>
  <w:footnote w:id="119">
    <w:p w14:paraId="5760EE1A" w14:textId="77777777" w:rsidR="006A62B6" w:rsidRPr="006E54C9" w:rsidRDefault="006A62B6" w:rsidP="009876A1">
      <w:pPr>
        <w:pStyle w:val="FootnoteText"/>
        <w:rPr>
          <w:rFonts w:ascii="Arial" w:hAnsi="Arial" w:cs="Arial"/>
          <w:sz w:val="16"/>
          <w:szCs w:val="16"/>
        </w:rPr>
      </w:pPr>
      <w:r w:rsidRPr="006E54C9">
        <w:rPr>
          <w:rStyle w:val="FootnoteReference"/>
          <w:rFonts w:ascii="Arial" w:hAnsi="Arial" w:cs="Arial"/>
          <w:sz w:val="16"/>
          <w:szCs w:val="16"/>
        </w:rPr>
        <w:footnoteRef/>
      </w:r>
      <w:r>
        <w:rPr>
          <w:rFonts w:ascii="Arial" w:hAnsi="Arial" w:cs="Arial"/>
          <w:sz w:val="16"/>
          <w:szCs w:val="16"/>
        </w:rPr>
        <w:t xml:space="preserve"> McKinsey and Company (2017)</w:t>
      </w:r>
    </w:p>
  </w:footnote>
  <w:footnote w:id="120">
    <w:p w14:paraId="3C9B39A1" w14:textId="77777777" w:rsidR="006A62B6" w:rsidRPr="002164D6" w:rsidRDefault="006A62B6" w:rsidP="003F368F">
      <w:pPr>
        <w:pStyle w:val="FootnoteText"/>
        <w:rPr>
          <w:rFonts w:ascii="Arial" w:hAnsi="Arial" w:cs="Arial"/>
          <w:sz w:val="16"/>
          <w:szCs w:val="16"/>
        </w:rPr>
      </w:pPr>
      <w:r w:rsidRPr="002164D6">
        <w:rPr>
          <w:rStyle w:val="FootnoteReference"/>
          <w:rFonts w:ascii="Arial" w:hAnsi="Arial" w:cs="Arial"/>
          <w:sz w:val="16"/>
          <w:szCs w:val="16"/>
        </w:rPr>
        <w:footnoteRef/>
      </w:r>
      <w:r w:rsidRPr="002164D6">
        <w:rPr>
          <w:rFonts w:ascii="Arial" w:hAnsi="Arial" w:cs="Arial"/>
          <w:sz w:val="16"/>
          <w:szCs w:val="16"/>
        </w:rPr>
        <w:t xml:space="preserve"> ILO (2015c)</w:t>
      </w:r>
    </w:p>
  </w:footnote>
  <w:footnote w:id="121">
    <w:p w14:paraId="29FEBBB1" w14:textId="77777777" w:rsidR="006A62B6" w:rsidRPr="008C606C" w:rsidRDefault="006A62B6" w:rsidP="0038223F">
      <w:pPr>
        <w:pStyle w:val="FootnoteText"/>
      </w:pPr>
      <w:r w:rsidRPr="006E54C9">
        <w:rPr>
          <w:rStyle w:val="FootnoteReference"/>
          <w:rFonts w:ascii="Arial" w:hAnsi="Arial" w:cs="Arial"/>
          <w:sz w:val="16"/>
          <w:szCs w:val="16"/>
        </w:rPr>
        <w:footnoteRef/>
      </w:r>
      <w:r w:rsidRPr="006E54C9">
        <w:rPr>
          <w:rFonts w:ascii="Arial" w:hAnsi="Arial" w:cs="Arial"/>
          <w:sz w:val="16"/>
          <w:szCs w:val="16"/>
        </w:rPr>
        <w:t xml:space="preserve"> It is beyond the scope of this report to assess the relative value of interventions in the construction sector against other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861D" w14:textId="77777777" w:rsidR="006A62B6" w:rsidRDefault="006A62B6">
    <w:pPr>
      <w:pStyle w:val="Header"/>
    </w:pPr>
    <w:r>
      <w:rPr>
        <w:noProof/>
        <w:lang w:eastAsia="en-GB"/>
      </w:rPr>
      <w:drawing>
        <wp:anchor distT="0" distB="0" distL="114300" distR="114300" simplePos="0" relativeHeight="251657216" behindDoc="1" locked="0" layoutInCell="1" allowOverlap="1" wp14:anchorId="301A86C7" wp14:editId="04B13AAB">
          <wp:simplePos x="0" y="0"/>
          <wp:positionH relativeFrom="column">
            <wp:posOffset>-593090</wp:posOffset>
          </wp:positionH>
          <wp:positionV relativeFrom="paragraph">
            <wp:posOffset>2368550</wp:posOffset>
          </wp:positionV>
          <wp:extent cx="7551420" cy="6267450"/>
          <wp:effectExtent l="0" t="0" r="0" b="0"/>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6267450"/>
                  </a:xfrm>
                  <a:prstGeom prst="rect">
                    <a:avLst/>
                  </a:prstGeom>
                  <a:noFill/>
                  <a:ln>
                    <a:noFill/>
                  </a:ln>
                </pic:spPr>
              </pic:pic>
            </a:graphicData>
          </a:graphic>
        </wp:anchor>
      </w:drawing>
    </w:r>
    <w:r w:rsidRPr="00EF657D">
      <w:rPr>
        <w:noProof/>
        <w:lang w:eastAsia="en-GB"/>
      </w:rPr>
      <w:drawing>
        <wp:inline distT="0" distB="0" distL="0" distR="0" wp14:anchorId="1E245258" wp14:editId="7277B17D">
          <wp:extent cx="2406015" cy="1536065"/>
          <wp:effectExtent l="0" t="0" r="0" b="6985"/>
          <wp:docPr id="21" name="Picture 21" descr="N:\Onshore UK\2016\08 August\160805-092353-KK-UK_ICED\Images\ic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nshore UK\2016\08 August\160805-092353-KK-UK_ICED\Images\iced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6015" cy="15360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0622" w14:textId="77777777" w:rsidR="006A62B6" w:rsidRDefault="006A62B6">
    <w:pPr>
      <w:pStyle w:val="Header"/>
    </w:pPr>
    <w:r>
      <w:rPr>
        <w:noProof/>
        <w:lang w:eastAsia="en-GB"/>
      </w:rPr>
      <w:drawing>
        <wp:anchor distT="0" distB="0" distL="114300" distR="114300" simplePos="0" relativeHeight="251658240" behindDoc="1" locked="0" layoutInCell="1" allowOverlap="1" wp14:anchorId="74E0F919" wp14:editId="75C13B79">
          <wp:simplePos x="0" y="0"/>
          <wp:positionH relativeFrom="column">
            <wp:posOffset>-1050877</wp:posOffset>
          </wp:positionH>
          <wp:positionV relativeFrom="paragraph">
            <wp:posOffset>-450377</wp:posOffset>
          </wp:positionV>
          <wp:extent cx="4872990" cy="40443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2990" cy="404431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1039" w14:textId="77777777" w:rsidR="006A62B6" w:rsidRDefault="006A62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D9DC" w14:textId="77777777" w:rsidR="006A62B6" w:rsidRDefault="006A6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6A9"/>
    <w:multiLevelType w:val="hybridMultilevel"/>
    <w:tmpl w:val="81120F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AF182E"/>
    <w:multiLevelType w:val="multilevel"/>
    <w:tmpl w:val="8C5C0CFA"/>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D604666"/>
    <w:multiLevelType w:val="hybridMultilevel"/>
    <w:tmpl w:val="15CA30D8"/>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3" w15:restartNumberingAfterBreak="0">
    <w:nsid w:val="1845557E"/>
    <w:multiLevelType w:val="hybridMultilevel"/>
    <w:tmpl w:val="2B386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D20270"/>
    <w:multiLevelType w:val="multilevel"/>
    <w:tmpl w:val="8D86BC78"/>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5" w15:restartNumberingAfterBreak="0">
    <w:nsid w:val="20906656"/>
    <w:multiLevelType w:val="hybridMultilevel"/>
    <w:tmpl w:val="7114AF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81141E9"/>
    <w:multiLevelType w:val="hybridMultilevel"/>
    <w:tmpl w:val="8EB65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D36487"/>
    <w:multiLevelType w:val="hybridMultilevel"/>
    <w:tmpl w:val="D5DAC8B6"/>
    <w:lvl w:ilvl="0" w:tplc="8B7C905E">
      <w:start w:val="1"/>
      <w:numFmt w:val="decimal"/>
      <w:lvlText w:val="%1."/>
      <w:lvlJc w:val="left"/>
      <w:pPr>
        <w:ind w:left="780" w:hanging="360"/>
      </w:pPr>
      <w:rPr>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3B7C4B50"/>
    <w:multiLevelType w:val="hybridMultilevel"/>
    <w:tmpl w:val="21D0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A0446"/>
    <w:multiLevelType w:val="hybridMultilevel"/>
    <w:tmpl w:val="43BE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35E39"/>
    <w:multiLevelType w:val="hybridMultilevel"/>
    <w:tmpl w:val="1AF2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C1A38"/>
    <w:multiLevelType w:val="hybridMultilevel"/>
    <w:tmpl w:val="1710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05B31"/>
    <w:multiLevelType w:val="hybridMultilevel"/>
    <w:tmpl w:val="0D64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74599"/>
    <w:multiLevelType w:val="hybridMultilevel"/>
    <w:tmpl w:val="9042C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4B48D2"/>
    <w:multiLevelType w:val="hybridMultilevel"/>
    <w:tmpl w:val="3C7E0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B42091"/>
    <w:multiLevelType w:val="multilevel"/>
    <w:tmpl w:val="5B72B7F8"/>
    <w:lvl w:ilvl="0">
      <w:start w:val="1"/>
      <w:numFmt w:val="bullet"/>
      <w:pStyle w:val="TableBodyListBullet"/>
      <w:lvlText w:val=""/>
      <w:lvlJc w:val="left"/>
      <w:pPr>
        <w:tabs>
          <w:tab w:val="num" w:pos="397"/>
        </w:tabs>
        <w:ind w:left="397" w:hanging="397"/>
      </w:pPr>
      <w:rPr>
        <w:rFonts w:ascii="Symbol" w:hAnsi="Symbol" w:hint="default"/>
        <w:color w:val="2A3880" w:themeColor="text2"/>
      </w:rPr>
    </w:lvl>
    <w:lvl w:ilvl="1">
      <w:start w:val="1"/>
      <w:numFmt w:val="bullet"/>
      <w:pStyle w:val="TableBodyListBullet2"/>
      <w:lvlText w:val="­"/>
      <w:lvlJc w:val="left"/>
      <w:pPr>
        <w:tabs>
          <w:tab w:val="num" w:pos="794"/>
        </w:tabs>
        <w:ind w:left="794" w:hanging="397"/>
      </w:pPr>
      <w:rPr>
        <w:rFonts w:ascii="Courier New" w:hAnsi="Courier New" w:hint="default"/>
        <w:color w:val="2A3880" w:themeColor="text2"/>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16" w15:restartNumberingAfterBreak="0">
    <w:nsid w:val="52623398"/>
    <w:multiLevelType w:val="hybridMultilevel"/>
    <w:tmpl w:val="17BCCC8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7" w15:restartNumberingAfterBreak="0">
    <w:nsid w:val="52D20A59"/>
    <w:multiLevelType w:val="hybridMultilevel"/>
    <w:tmpl w:val="3330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A5DC3"/>
    <w:multiLevelType w:val="hybridMultilevel"/>
    <w:tmpl w:val="BB1CB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B361BA"/>
    <w:multiLevelType w:val="hybridMultilevel"/>
    <w:tmpl w:val="4296FC82"/>
    <w:lvl w:ilvl="0" w:tplc="08090001">
      <w:start w:val="1"/>
      <w:numFmt w:val="bullet"/>
      <w:lvlText w:val=""/>
      <w:lvlJc w:val="left"/>
      <w:pPr>
        <w:ind w:left="720" w:hanging="360"/>
      </w:pPr>
      <w:rPr>
        <w:rFonts w:ascii="Symbol" w:hAnsi="Symbol" w:hint="default"/>
      </w:rPr>
    </w:lvl>
    <w:lvl w:ilvl="1" w:tplc="C0B6C046">
      <w:numFmt w:val="bullet"/>
      <w:lvlText w:val="•"/>
      <w:lvlJc w:val="left"/>
      <w:pPr>
        <w:ind w:left="1800" w:hanging="720"/>
      </w:pPr>
      <w:rPr>
        <w:rFonts w:ascii="Arial" w:eastAsiaTheme="minorHAnsi" w:hAnsi="Arial" w:cs="Arial" w:hint="default"/>
        <w:b/>
        <w:i/>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14EA0"/>
    <w:multiLevelType w:val="hybridMultilevel"/>
    <w:tmpl w:val="07FA5860"/>
    <w:lvl w:ilvl="0" w:tplc="D4428950">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9FF54EE"/>
    <w:multiLevelType w:val="multilevel"/>
    <w:tmpl w:val="D70C65E0"/>
    <w:styleLink w:val="TableBodyBullet"/>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Courier New" w:hAnsi="Courier New" w:hint="default"/>
        <w:color w:val="auto"/>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22" w15:restartNumberingAfterBreak="0">
    <w:nsid w:val="617A6310"/>
    <w:multiLevelType w:val="hybridMultilevel"/>
    <w:tmpl w:val="DBD62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2BC07A3"/>
    <w:multiLevelType w:val="hybridMultilevel"/>
    <w:tmpl w:val="67165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D4DE8"/>
    <w:multiLevelType w:val="multilevel"/>
    <w:tmpl w:val="B3DEDAD6"/>
    <w:lvl w:ilvl="0">
      <w:start w:val="1"/>
      <w:numFmt w:val="decimal"/>
      <w:suff w:val="space"/>
      <w:lvlText w:val="Ob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15:restartNumberingAfterBreak="0">
    <w:nsid w:val="713F57FE"/>
    <w:multiLevelType w:val="hybridMultilevel"/>
    <w:tmpl w:val="D8CA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4189F"/>
    <w:multiLevelType w:val="multilevel"/>
    <w:tmpl w:val="2A42A0E4"/>
    <w:lvl w:ilvl="0">
      <w:start w:val="1"/>
      <w:numFmt w:val="bullet"/>
      <w:pStyle w:val="ListBullet"/>
      <w:lvlText w:val=""/>
      <w:lvlJc w:val="left"/>
      <w:pPr>
        <w:ind w:left="567" w:hanging="567"/>
      </w:pPr>
      <w:rPr>
        <w:rFonts w:ascii="Symbol" w:hAnsi="Symbol" w:hint="default"/>
        <w:color w:val="2A3880" w:themeColor="text2"/>
      </w:rPr>
    </w:lvl>
    <w:lvl w:ilvl="1">
      <w:start w:val="1"/>
      <w:numFmt w:val="bullet"/>
      <w:pStyle w:val="ListBullet2"/>
      <w:lvlText w:val=""/>
      <w:lvlJc w:val="left"/>
      <w:pPr>
        <w:tabs>
          <w:tab w:val="num" w:pos="1134"/>
        </w:tabs>
        <w:ind w:left="1134" w:hanging="567"/>
      </w:pPr>
      <w:rPr>
        <w:rFonts w:ascii="Symbol" w:hAnsi="Symbol" w:hint="default"/>
        <w:color w:val="2A3880" w:themeColor="text2"/>
      </w:rPr>
    </w:lvl>
    <w:lvl w:ilvl="2">
      <w:start w:val="1"/>
      <w:numFmt w:val="bullet"/>
      <w:pStyle w:val="ListBullet3"/>
      <w:lvlText w:val="◦"/>
      <w:lvlJc w:val="left"/>
      <w:pPr>
        <w:tabs>
          <w:tab w:val="num" w:pos="1701"/>
        </w:tabs>
        <w:ind w:left="1701" w:hanging="567"/>
      </w:pPr>
      <w:rPr>
        <w:rFonts w:ascii="Georgia" w:hAnsi="Georgia" w:hint="default"/>
        <w:b/>
        <w:color w:val="2A3880" w:themeColor="text2"/>
      </w:rPr>
    </w:lvl>
    <w:lvl w:ilvl="3">
      <w:start w:val="1"/>
      <w:numFmt w:val="bullet"/>
      <w:lvlText w:val=""/>
      <w:lvlJc w:val="left"/>
      <w:pPr>
        <w:tabs>
          <w:tab w:val="num" w:pos="2268"/>
        </w:tabs>
        <w:ind w:left="2268" w:hanging="567"/>
      </w:pPr>
      <w:rPr>
        <w:rFonts w:ascii="Symbol" w:hAnsi="Symbol" w:hint="default"/>
        <w:color w:val="2A3880" w:themeColor="text2"/>
      </w:rPr>
    </w:lvl>
    <w:lvl w:ilvl="4">
      <w:start w:val="1"/>
      <w:numFmt w:val="bullet"/>
      <w:lvlText w:val="~"/>
      <w:lvlJc w:val="left"/>
      <w:pPr>
        <w:tabs>
          <w:tab w:val="num" w:pos="2835"/>
        </w:tabs>
        <w:ind w:left="2835" w:hanging="567"/>
      </w:pPr>
      <w:rPr>
        <w:rFonts w:ascii="Georgia" w:hAnsi="Georgia" w:hint="default"/>
        <w:color w:val="2A3880"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7" w15:restartNumberingAfterBreak="0">
    <w:nsid w:val="7495498F"/>
    <w:multiLevelType w:val="multilevel"/>
    <w:tmpl w:val="2C529ED6"/>
    <w:lvl w:ilvl="0">
      <w:start w:val="1"/>
      <w:numFmt w:val="none"/>
      <w:pStyle w:val="TableBodyRowHeading"/>
      <w:suff w:val="nothing"/>
      <w:lvlText w:val=""/>
      <w:lvlJc w:val="left"/>
      <w:pPr>
        <w:ind w:left="0" w:firstLine="0"/>
      </w:pPr>
      <w:rPr>
        <w:rFonts w:hint="default"/>
      </w:rPr>
    </w:lvl>
    <w:lvl w:ilvl="1">
      <w:start w:val="1"/>
      <w:numFmt w:val="decimal"/>
      <w:lvlText w:val="%1%2."/>
      <w:lvlJc w:val="left"/>
      <w:pPr>
        <w:ind w:left="720" w:hanging="720"/>
      </w:pPr>
      <w:rPr>
        <w:rFonts w:hint="default"/>
      </w:rPr>
    </w:lvl>
    <w:lvl w:ilvl="2">
      <w:start w:val="1"/>
      <w:numFmt w:val="lowerLetter"/>
      <w:suff w:val="space"/>
      <w:lvlText w:val="%1%3."/>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724C5E"/>
    <w:multiLevelType w:val="hybridMultilevel"/>
    <w:tmpl w:val="E14E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F15AD"/>
    <w:multiLevelType w:val="hybridMultilevel"/>
    <w:tmpl w:val="8D081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204EF2"/>
    <w:multiLevelType w:val="hybridMultilevel"/>
    <w:tmpl w:val="B4ACC8AA"/>
    <w:lvl w:ilvl="0" w:tplc="0809000F">
      <w:start w:val="1"/>
      <w:numFmt w:val="decimal"/>
      <w:lvlText w:val="%1."/>
      <w:lvlJc w:val="left"/>
      <w:pPr>
        <w:ind w:left="1305" w:hanging="360"/>
      </w:p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num w:numId="1">
    <w:abstractNumId w:val="24"/>
  </w:num>
  <w:num w:numId="2">
    <w:abstractNumId w:val="26"/>
  </w:num>
  <w:num w:numId="3">
    <w:abstractNumId w:val="1"/>
  </w:num>
  <w:num w:numId="4">
    <w:abstractNumId w:val="21"/>
  </w:num>
  <w:num w:numId="5">
    <w:abstractNumId w:val="15"/>
  </w:num>
  <w:num w:numId="6">
    <w:abstractNumId w:val="27"/>
  </w:num>
  <w:num w:numId="7">
    <w:abstractNumId w:val="4"/>
  </w:num>
  <w:num w:numId="8">
    <w:abstractNumId w:val="30"/>
  </w:num>
  <w:num w:numId="9">
    <w:abstractNumId w:val="13"/>
  </w:num>
  <w:num w:numId="10">
    <w:abstractNumId w:val="0"/>
  </w:num>
  <w:num w:numId="11">
    <w:abstractNumId w:val="14"/>
  </w:num>
  <w:num w:numId="12">
    <w:abstractNumId w:val="6"/>
  </w:num>
  <w:num w:numId="13">
    <w:abstractNumId w:val="2"/>
  </w:num>
  <w:num w:numId="14">
    <w:abstractNumId w:val="22"/>
  </w:num>
  <w:num w:numId="15">
    <w:abstractNumId w:val="29"/>
  </w:num>
  <w:num w:numId="16">
    <w:abstractNumId w:val="16"/>
  </w:num>
  <w:num w:numId="17">
    <w:abstractNumId w:val="12"/>
  </w:num>
  <w:num w:numId="18">
    <w:abstractNumId w:val="7"/>
  </w:num>
  <w:num w:numId="19">
    <w:abstractNumId w:val="20"/>
  </w:num>
  <w:num w:numId="20">
    <w:abstractNumId w:val="8"/>
  </w:num>
  <w:num w:numId="21">
    <w:abstractNumId w:val="25"/>
  </w:num>
  <w:num w:numId="22">
    <w:abstractNumId w:val="28"/>
  </w:num>
  <w:num w:numId="23">
    <w:abstractNumId w:val="11"/>
  </w:num>
  <w:num w:numId="24">
    <w:abstractNumId w:val="10"/>
  </w:num>
  <w:num w:numId="25">
    <w:abstractNumId w:val="3"/>
  </w:num>
  <w:num w:numId="26">
    <w:abstractNumId w:val="18"/>
  </w:num>
  <w:num w:numId="27">
    <w:abstractNumId w:val="5"/>
  </w:num>
  <w:num w:numId="28">
    <w:abstractNumId w:val="19"/>
  </w:num>
  <w:num w:numId="29">
    <w:abstractNumId w:val="23"/>
  </w:num>
  <w:num w:numId="30">
    <w:abstractNumId w:val="9"/>
  </w:num>
  <w:num w:numId="31">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E3"/>
    <w:rsid w:val="00000CC0"/>
    <w:rsid w:val="00004936"/>
    <w:rsid w:val="000103D3"/>
    <w:rsid w:val="00010ECD"/>
    <w:rsid w:val="000156D0"/>
    <w:rsid w:val="00015CE6"/>
    <w:rsid w:val="0001754E"/>
    <w:rsid w:val="00017DC2"/>
    <w:rsid w:val="00026678"/>
    <w:rsid w:val="0002701E"/>
    <w:rsid w:val="00030FB9"/>
    <w:rsid w:val="00037708"/>
    <w:rsid w:val="00040748"/>
    <w:rsid w:val="00040983"/>
    <w:rsid w:val="00041E15"/>
    <w:rsid w:val="00044A67"/>
    <w:rsid w:val="000455C5"/>
    <w:rsid w:val="0005052F"/>
    <w:rsid w:val="0005303B"/>
    <w:rsid w:val="00053B52"/>
    <w:rsid w:val="000543E8"/>
    <w:rsid w:val="0005464F"/>
    <w:rsid w:val="00054F0D"/>
    <w:rsid w:val="000564C9"/>
    <w:rsid w:val="00056AC9"/>
    <w:rsid w:val="00060C9D"/>
    <w:rsid w:val="00060F17"/>
    <w:rsid w:val="00061D67"/>
    <w:rsid w:val="00062729"/>
    <w:rsid w:val="0006389A"/>
    <w:rsid w:val="000639FF"/>
    <w:rsid w:val="00064403"/>
    <w:rsid w:val="00066F4B"/>
    <w:rsid w:val="00067D95"/>
    <w:rsid w:val="00071A83"/>
    <w:rsid w:val="00076E1B"/>
    <w:rsid w:val="000807C4"/>
    <w:rsid w:val="0008156A"/>
    <w:rsid w:val="0008371D"/>
    <w:rsid w:val="000845BA"/>
    <w:rsid w:val="0008698B"/>
    <w:rsid w:val="00087115"/>
    <w:rsid w:val="00090D47"/>
    <w:rsid w:val="000947A3"/>
    <w:rsid w:val="00095C14"/>
    <w:rsid w:val="0009709E"/>
    <w:rsid w:val="000A0AD4"/>
    <w:rsid w:val="000A3A89"/>
    <w:rsid w:val="000A43AB"/>
    <w:rsid w:val="000A67A9"/>
    <w:rsid w:val="000B0A07"/>
    <w:rsid w:val="000B2E21"/>
    <w:rsid w:val="000B434E"/>
    <w:rsid w:val="000B6A95"/>
    <w:rsid w:val="000B7927"/>
    <w:rsid w:val="000C0228"/>
    <w:rsid w:val="000C174A"/>
    <w:rsid w:val="000C4151"/>
    <w:rsid w:val="000C43EB"/>
    <w:rsid w:val="000D0B41"/>
    <w:rsid w:val="000D21FE"/>
    <w:rsid w:val="000D2893"/>
    <w:rsid w:val="000D3ABB"/>
    <w:rsid w:val="000D4149"/>
    <w:rsid w:val="000E0C38"/>
    <w:rsid w:val="000E1DD8"/>
    <w:rsid w:val="000E63D2"/>
    <w:rsid w:val="000F59BE"/>
    <w:rsid w:val="00100A98"/>
    <w:rsid w:val="0011299B"/>
    <w:rsid w:val="001130DF"/>
    <w:rsid w:val="001142E3"/>
    <w:rsid w:val="0011770A"/>
    <w:rsid w:val="00121662"/>
    <w:rsid w:val="001228E5"/>
    <w:rsid w:val="00124282"/>
    <w:rsid w:val="001247D3"/>
    <w:rsid w:val="00124FF3"/>
    <w:rsid w:val="00132D80"/>
    <w:rsid w:val="00134098"/>
    <w:rsid w:val="001363AA"/>
    <w:rsid w:val="0014224F"/>
    <w:rsid w:val="001449D3"/>
    <w:rsid w:val="0014604F"/>
    <w:rsid w:val="0015503E"/>
    <w:rsid w:val="0016233B"/>
    <w:rsid w:val="0016520D"/>
    <w:rsid w:val="00171FC8"/>
    <w:rsid w:val="001767E1"/>
    <w:rsid w:val="00181D20"/>
    <w:rsid w:val="00182DED"/>
    <w:rsid w:val="00183687"/>
    <w:rsid w:val="001844CE"/>
    <w:rsid w:val="00184AD9"/>
    <w:rsid w:val="00185631"/>
    <w:rsid w:val="00191043"/>
    <w:rsid w:val="00192733"/>
    <w:rsid w:val="00193433"/>
    <w:rsid w:val="00195080"/>
    <w:rsid w:val="001A6968"/>
    <w:rsid w:val="001B2A8C"/>
    <w:rsid w:val="001B5454"/>
    <w:rsid w:val="001C2853"/>
    <w:rsid w:val="001C5649"/>
    <w:rsid w:val="001C722C"/>
    <w:rsid w:val="001D0CB0"/>
    <w:rsid w:val="001D319E"/>
    <w:rsid w:val="001D3F86"/>
    <w:rsid w:val="001E5CDC"/>
    <w:rsid w:val="001E6710"/>
    <w:rsid w:val="001F13AA"/>
    <w:rsid w:val="001F2038"/>
    <w:rsid w:val="001F400E"/>
    <w:rsid w:val="001F58EB"/>
    <w:rsid w:val="001F5F24"/>
    <w:rsid w:val="00202E61"/>
    <w:rsid w:val="00207D09"/>
    <w:rsid w:val="0021004B"/>
    <w:rsid w:val="00212535"/>
    <w:rsid w:val="0021292A"/>
    <w:rsid w:val="00212D64"/>
    <w:rsid w:val="00213663"/>
    <w:rsid w:val="00213F0A"/>
    <w:rsid w:val="00214B26"/>
    <w:rsid w:val="002164D6"/>
    <w:rsid w:val="0022131C"/>
    <w:rsid w:val="0022165A"/>
    <w:rsid w:val="00225428"/>
    <w:rsid w:val="00226ED7"/>
    <w:rsid w:val="00232CBB"/>
    <w:rsid w:val="00240511"/>
    <w:rsid w:val="00241B18"/>
    <w:rsid w:val="00242F13"/>
    <w:rsid w:val="002448FB"/>
    <w:rsid w:val="00252AB0"/>
    <w:rsid w:val="00257ED4"/>
    <w:rsid w:val="002636F2"/>
    <w:rsid w:val="002638F1"/>
    <w:rsid w:val="00263A46"/>
    <w:rsid w:val="002709CE"/>
    <w:rsid w:val="0027189E"/>
    <w:rsid w:val="00272322"/>
    <w:rsid w:val="00272D0C"/>
    <w:rsid w:val="00275830"/>
    <w:rsid w:val="00276109"/>
    <w:rsid w:val="0027619C"/>
    <w:rsid w:val="00277988"/>
    <w:rsid w:val="0028291A"/>
    <w:rsid w:val="00282FE7"/>
    <w:rsid w:val="002831B8"/>
    <w:rsid w:val="00284257"/>
    <w:rsid w:val="0028602B"/>
    <w:rsid w:val="002901D4"/>
    <w:rsid w:val="00292062"/>
    <w:rsid w:val="00292962"/>
    <w:rsid w:val="002940EE"/>
    <w:rsid w:val="002949EA"/>
    <w:rsid w:val="002952F5"/>
    <w:rsid w:val="0029592E"/>
    <w:rsid w:val="00296048"/>
    <w:rsid w:val="00297C5C"/>
    <w:rsid w:val="002A0555"/>
    <w:rsid w:val="002A3639"/>
    <w:rsid w:val="002A37DB"/>
    <w:rsid w:val="002A6FD4"/>
    <w:rsid w:val="002B11ED"/>
    <w:rsid w:val="002B1D97"/>
    <w:rsid w:val="002B2BB3"/>
    <w:rsid w:val="002B36A6"/>
    <w:rsid w:val="002C0D48"/>
    <w:rsid w:val="002C1188"/>
    <w:rsid w:val="002C3B0A"/>
    <w:rsid w:val="002C6088"/>
    <w:rsid w:val="002C6592"/>
    <w:rsid w:val="002C7037"/>
    <w:rsid w:val="002D39FC"/>
    <w:rsid w:val="002E11F6"/>
    <w:rsid w:val="002E2A5E"/>
    <w:rsid w:val="002E3138"/>
    <w:rsid w:val="002E374F"/>
    <w:rsid w:val="002E3E94"/>
    <w:rsid w:val="002E4691"/>
    <w:rsid w:val="002F16FF"/>
    <w:rsid w:val="002F3679"/>
    <w:rsid w:val="00303247"/>
    <w:rsid w:val="0030469A"/>
    <w:rsid w:val="00305100"/>
    <w:rsid w:val="003130F5"/>
    <w:rsid w:val="0031600B"/>
    <w:rsid w:val="0031791D"/>
    <w:rsid w:val="00322559"/>
    <w:rsid w:val="00322F3B"/>
    <w:rsid w:val="00333704"/>
    <w:rsid w:val="00340ED2"/>
    <w:rsid w:val="00341545"/>
    <w:rsid w:val="00342347"/>
    <w:rsid w:val="0034308E"/>
    <w:rsid w:val="003430E9"/>
    <w:rsid w:val="0034669F"/>
    <w:rsid w:val="00350562"/>
    <w:rsid w:val="00353BD4"/>
    <w:rsid w:val="00356014"/>
    <w:rsid w:val="00363811"/>
    <w:rsid w:val="003672AF"/>
    <w:rsid w:val="00367991"/>
    <w:rsid w:val="00370582"/>
    <w:rsid w:val="00370977"/>
    <w:rsid w:val="0037175B"/>
    <w:rsid w:val="00373B89"/>
    <w:rsid w:val="0038168F"/>
    <w:rsid w:val="00381BD3"/>
    <w:rsid w:val="0038223F"/>
    <w:rsid w:val="00390145"/>
    <w:rsid w:val="00390494"/>
    <w:rsid w:val="003926F2"/>
    <w:rsid w:val="003942EA"/>
    <w:rsid w:val="0039669B"/>
    <w:rsid w:val="00397E8C"/>
    <w:rsid w:val="003A02DF"/>
    <w:rsid w:val="003A41E9"/>
    <w:rsid w:val="003A4429"/>
    <w:rsid w:val="003A59AE"/>
    <w:rsid w:val="003A6064"/>
    <w:rsid w:val="003A7CFA"/>
    <w:rsid w:val="003B10E4"/>
    <w:rsid w:val="003B2CD5"/>
    <w:rsid w:val="003B49BA"/>
    <w:rsid w:val="003B5B06"/>
    <w:rsid w:val="003C377C"/>
    <w:rsid w:val="003D0E04"/>
    <w:rsid w:val="003D1398"/>
    <w:rsid w:val="003D2542"/>
    <w:rsid w:val="003D33C2"/>
    <w:rsid w:val="003D4764"/>
    <w:rsid w:val="003D54C4"/>
    <w:rsid w:val="003E0885"/>
    <w:rsid w:val="003E10CB"/>
    <w:rsid w:val="003E2C1F"/>
    <w:rsid w:val="003E35EB"/>
    <w:rsid w:val="003E6142"/>
    <w:rsid w:val="003E7D77"/>
    <w:rsid w:val="003F122D"/>
    <w:rsid w:val="003F368F"/>
    <w:rsid w:val="003F3B88"/>
    <w:rsid w:val="003F4BAB"/>
    <w:rsid w:val="003F714D"/>
    <w:rsid w:val="004016F5"/>
    <w:rsid w:val="0040531D"/>
    <w:rsid w:val="00411CCE"/>
    <w:rsid w:val="00425B8F"/>
    <w:rsid w:val="004320CA"/>
    <w:rsid w:val="00432BEF"/>
    <w:rsid w:val="00436CBD"/>
    <w:rsid w:val="004374C1"/>
    <w:rsid w:val="00444CDB"/>
    <w:rsid w:val="004452A6"/>
    <w:rsid w:val="004479A9"/>
    <w:rsid w:val="00450FD8"/>
    <w:rsid w:val="00452E90"/>
    <w:rsid w:val="00456993"/>
    <w:rsid w:val="004631BC"/>
    <w:rsid w:val="00466F23"/>
    <w:rsid w:val="004672AF"/>
    <w:rsid w:val="004712F9"/>
    <w:rsid w:val="00471F32"/>
    <w:rsid w:val="00474E8C"/>
    <w:rsid w:val="00476E20"/>
    <w:rsid w:val="004826C3"/>
    <w:rsid w:val="004840A2"/>
    <w:rsid w:val="0048484C"/>
    <w:rsid w:val="00485602"/>
    <w:rsid w:val="00494F78"/>
    <w:rsid w:val="004954A7"/>
    <w:rsid w:val="00495CED"/>
    <w:rsid w:val="0049603D"/>
    <w:rsid w:val="00496198"/>
    <w:rsid w:val="00497619"/>
    <w:rsid w:val="004A293B"/>
    <w:rsid w:val="004A2AC5"/>
    <w:rsid w:val="004A6851"/>
    <w:rsid w:val="004B125F"/>
    <w:rsid w:val="004B3045"/>
    <w:rsid w:val="004B3CBB"/>
    <w:rsid w:val="004C6203"/>
    <w:rsid w:val="004C6A51"/>
    <w:rsid w:val="004C6A8B"/>
    <w:rsid w:val="004C6F55"/>
    <w:rsid w:val="004C71A2"/>
    <w:rsid w:val="004D50CE"/>
    <w:rsid w:val="004D575E"/>
    <w:rsid w:val="004D6934"/>
    <w:rsid w:val="004E5ED1"/>
    <w:rsid w:val="004F1705"/>
    <w:rsid w:val="004F3C48"/>
    <w:rsid w:val="004F5F53"/>
    <w:rsid w:val="004F715D"/>
    <w:rsid w:val="00500243"/>
    <w:rsid w:val="005007B8"/>
    <w:rsid w:val="00501B53"/>
    <w:rsid w:val="005028D1"/>
    <w:rsid w:val="005030DD"/>
    <w:rsid w:val="00515DA9"/>
    <w:rsid w:val="00524982"/>
    <w:rsid w:val="00530AA4"/>
    <w:rsid w:val="00531B46"/>
    <w:rsid w:val="0053299E"/>
    <w:rsid w:val="00533E8D"/>
    <w:rsid w:val="00535C33"/>
    <w:rsid w:val="00536601"/>
    <w:rsid w:val="00541DEE"/>
    <w:rsid w:val="00547CF3"/>
    <w:rsid w:val="00550254"/>
    <w:rsid w:val="00550351"/>
    <w:rsid w:val="005524B7"/>
    <w:rsid w:val="005553D7"/>
    <w:rsid w:val="00555B81"/>
    <w:rsid w:val="0056084E"/>
    <w:rsid w:val="00560CB6"/>
    <w:rsid w:val="005611E2"/>
    <w:rsid w:val="00561AD0"/>
    <w:rsid w:val="00562C8A"/>
    <w:rsid w:val="00563705"/>
    <w:rsid w:val="00563E89"/>
    <w:rsid w:val="00564761"/>
    <w:rsid w:val="00570875"/>
    <w:rsid w:val="00572ADD"/>
    <w:rsid w:val="00574006"/>
    <w:rsid w:val="005775B8"/>
    <w:rsid w:val="00581FBC"/>
    <w:rsid w:val="00582D96"/>
    <w:rsid w:val="00583155"/>
    <w:rsid w:val="00584AFB"/>
    <w:rsid w:val="0059062B"/>
    <w:rsid w:val="00593181"/>
    <w:rsid w:val="005A2074"/>
    <w:rsid w:val="005A32DB"/>
    <w:rsid w:val="005B0E02"/>
    <w:rsid w:val="005B6771"/>
    <w:rsid w:val="005B7205"/>
    <w:rsid w:val="005B77F3"/>
    <w:rsid w:val="005C00DA"/>
    <w:rsid w:val="005C5757"/>
    <w:rsid w:val="005D32B2"/>
    <w:rsid w:val="005D48C8"/>
    <w:rsid w:val="005E1E88"/>
    <w:rsid w:val="005E2DE0"/>
    <w:rsid w:val="005E43BE"/>
    <w:rsid w:val="005E5299"/>
    <w:rsid w:val="005F20BE"/>
    <w:rsid w:val="005F5F5A"/>
    <w:rsid w:val="005F680A"/>
    <w:rsid w:val="005F79D5"/>
    <w:rsid w:val="00602B92"/>
    <w:rsid w:val="00604561"/>
    <w:rsid w:val="00604C1F"/>
    <w:rsid w:val="006069C5"/>
    <w:rsid w:val="00610454"/>
    <w:rsid w:val="00613D6B"/>
    <w:rsid w:val="00621F44"/>
    <w:rsid w:val="00622EAD"/>
    <w:rsid w:val="006246A5"/>
    <w:rsid w:val="00630E6D"/>
    <w:rsid w:val="006316D3"/>
    <w:rsid w:val="006319FC"/>
    <w:rsid w:val="006321E1"/>
    <w:rsid w:val="00633350"/>
    <w:rsid w:val="00633FD6"/>
    <w:rsid w:val="00636EF7"/>
    <w:rsid w:val="006408BE"/>
    <w:rsid w:val="00647A14"/>
    <w:rsid w:val="0065086E"/>
    <w:rsid w:val="00651672"/>
    <w:rsid w:val="0065399F"/>
    <w:rsid w:val="006545DE"/>
    <w:rsid w:val="0065619B"/>
    <w:rsid w:val="00657F71"/>
    <w:rsid w:val="00662135"/>
    <w:rsid w:val="00665853"/>
    <w:rsid w:val="00671179"/>
    <w:rsid w:val="00671FAA"/>
    <w:rsid w:val="0067232E"/>
    <w:rsid w:val="0067299A"/>
    <w:rsid w:val="0067409F"/>
    <w:rsid w:val="00674B00"/>
    <w:rsid w:val="00675B3E"/>
    <w:rsid w:val="00686D90"/>
    <w:rsid w:val="00692293"/>
    <w:rsid w:val="00693EAF"/>
    <w:rsid w:val="00695390"/>
    <w:rsid w:val="006A02A3"/>
    <w:rsid w:val="006A1040"/>
    <w:rsid w:val="006A547C"/>
    <w:rsid w:val="006A62B6"/>
    <w:rsid w:val="006A6F7C"/>
    <w:rsid w:val="006B0F19"/>
    <w:rsid w:val="006B34A9"/>
    <w:rsid w:val="006B558F"/>
    <w:rsid w:val="006B5D12"/>
    <w:rsid w:val="006B5D2A"/>
    <w:rsid w:val="006B6F5E"/>
    <w:rsid w:val="006C099A"/>
    <w:rsid w:val="006C29E4"/>
    <w:rsid w:val="006D43A0"/>
    <w:rsid w:val="006E1A3F"/>
    <w:rsid w:val="006E2263"/>
    <w:rsid w:val="006E3A44"/>
    <w:rsid w:val="006E3CD9"/>
    <w:rsid w:val="006E4500"/>
    <w:rsid w:val="006E54C9"/>
    <w:rsid w:val="006E7F09"/>
    <w:rsid w:val="006F0FEB"/>
    <w:rsid w:val="006F54ED"/>
    <w:rsid w:val="006F673D"/>
    <w:rsid w:val="007013D0"/>
    <w:rsid w:val="007019F2"/>
    <w:rsid w:val="0070308D"/>
    <w:rsid w:val="00703366"/>
    <w:rsid w:val="00706179"/>
    <w:rsid w:val="00707FA3"/>
    <w:rsid w:val="0071379F"/>
    <w:rsid w:val="00713B39"/>
    <w:rsid w:val="00714E79"/>
    <w:rsid w:val="007157C3"/>
    <w:rsid w:val="00715C86"/>
    <w:rsid w:val="00715D62"/>
    <w:rsid w:val="007166D8"/>
    <w:rsid w:val="00716DC4"/>
    <w:rsid w:val="00716DE4"/>
    <w:rsid w:val="007236AB"/>
    <w:rsid w:val="0072634E"/>
    <w:rsid w:val="00733608"/>
    <w:rsid w:val="007338CA"/>
    <w:rsid w:val="00737DBD"/>
    <w:rsid w:val="00745669"/>
    <w:rsid w:val="00747373"/>
    <w:rsid w:val="00747C5C"/>
    <w:rsid w:val="00747EDB"/>
    <w:rsid w:val="00756DA9"/>
    <w:rsid w:val="00764AED"/>
    <w:rsid w:val="00770CBA"/>
    <w:rsid w:val="0077411F"/>
    <w:rsid w:val="00782491"/>
    <w:rsid w:val="00784861"/>
    <w:rsid w:val="00792802"/>
    <w:rsid w:val="0079366D"/>
    <w:rsid w:val="00796D8D"/>
    <w:rsid w:val="007974F7"/>
    <w:rsid w:val="007A1381"/>
    <w:rsid w:val="007A1597"/>
    <w:rsid w:val="007A3470"/>
    <w:rsid w:val="007A41E5"/>
    <w:rsid w:val="007A4658"/>
    <w:rsid w:val="007A4C96"/>
    <w:rsid w:val="007A6FF2"/>
    <w:rsid w:val="007B5E17"/>
    <w:rsid w:val="007B6DBE"/>
    <w:rsid w:val="007B7276"/>
    <w:rsid w:val="007C279A"/>
    <w:rsid w:val="007C466A"/>
    <w:rsid w:val="007D0079"/>
    <w:rsid w:val="007D061B"/>
    <w:rsid w:val="007D1033"/>
    <w:rsid w:val="007D30C3"/>
    <w:rsid w:val="007D3673"/>
    <w:rsid w:val="007D60EB"/>
    <w:rsid w:val="007E221E"/>
    <w:rsid w:val="007E26DC"/>
    <w:rsid w:val="007E3F8E"/>
    <w:rsid w:val="007E6A65"/>
    <w:rsid w:val="007F1614"/>
    <w:rsid w:val="007F2539"/>
    <w:rsid w:val="007F26DC"/>
    <w:rsid w:val="007F3CC6"/>
    <w:rsid w:val="007F3FD9"/>
    <w:rsid w:val="00801EF9"/>
    <w:rsid w:val="00802AA3"/>
    <w:rsid w:val="008054C7"/>
    <w:rsid w:val="0081100C"/>
    <w:rsid w:val="0081191A"/>
    <w:rsid w:val="00814B1F"/>
    <w:rsid w:val="00820A97"/>
    <w:rsid w:val="00825C0B"/>
    <w:rsid w:val="00827780"/>
    <w:rsid w:val="00831B36"/>
    <w:rsid w:val="0083286B"/>
    <w:rsid w:val="00832943"/>
    <w:rsid w:val="00832C5E"/>
    <w:rsid w:val="00832E3F"/>
    <w:rsid w:val="00834A47"/>
    <w:rsid w:val="008470B9"/>
    <w:rsid w:val="00862C01"/>
    <w:rsid w:val="008632F2"/>
    <w:rsid w:val="0086337A"/>
    <w:rsid w:val="0086593F"/>
    <w:rsid w:val="00870116"/>
    <w:rsid w:val="00871DEC"/>
    <w:rsid w:val="008722B0"/>
    <w:rsid w:val="00874F17"/>
    <w:rsid w:val="0087703B"/>
    <w:rsid w:val="008825FF"/>
    <w:rsid w:val="00885E52"/>
    <w:rsid w:val="00886B87"/>
    <w:rsid w:val="008906A9"/>
    <w:rsid w:val="0089139A"/>
    <w:rsid w:val="008931C4"/>
    <w:rsid w:val="008960F3"/>
    <w:rsid w:val="0089618C"/>
    <w:rsid w:val="00897B61"/>
    <w:rsid w:val="008A0B50"/>
    <w:rsid w:val="008A6DA9"/>
    <w:rsid w:val="008A7357"/>
    <w:rsid w:val="008B3543"/>
    <w:rsid w:val="008B5B15"/>
    <w:rsid w:val="008C3D58"/>
    <w:rsid w:val="008C4001"/>
    <w:rsid w:val="008C4ECB"/>
    <w:rsid w:val="008C53BB"/>
    <w:rsid w:val="008C606C"/>
    <w:rsid w:val="008C657C"/>
    <w:rsid w:val="008C6D30"/>
    <w:rsid w:val="008D759C"/>
    <w:rsid w:val="008E0AD5"/>
    <w:rsid w:val="008E36ED"/>
    <w:rsid w:val="008E3704"/>
    <w:rsid w:val="008E7B48"/>
    <w:rsid w:val="008F1A94"/>
    <w:rsid w:val="008F4768"/>
    <w:rsid w:val="009011DE"/>
    <w:rsid w:val="00905096"/>
    <w:rsid w:val="009066F9"/>
    <w:rsid w:val="009079F0"/>
    <w:rsid w:val="009102C5"/>
    <w:rsid w:val="0091392E"/>
    <w:rsid w:val="0091401F"/>
    <w:rsid w:val="00915624"/>
    <w:rsid w:val="00915D9A"/>
    <w:rsid w:val="0091799F"/>
    <w:rsid w:val="009209C6"/>
    <w:rsid w:val="00923990"/>
    <w:rsid w:val="0092545C"/>
    <w:rsid w:val="009311B2"/>
    <w:rsid w:val="00942BA5"/>
    <w:rsid w:val="00944740"/>
    <w:rsid w:val="009504AC"/>
    <w:rsid w:val="00953807"/>
    <w:rsid w:val="00955B49"/>
    <w:rsid w:val="00957C2B"/>
    <w:rsid w:val="00957D9F"/>
    <w:rsid w:val="009619CC"/>
    <w:rsid w:val="00961C50"/>
    <w:rsid w:val="00963C1B"/>
    <w:rsid w:val="009642FC"/>
    <w:rsid w:val="00966EF4"/>
    <w:rsid w:val="00970541"/>
    <w:rsid w:val="00972AF6"/>
    <w:rsid w:val="00973E36"/>
    <w:rsid w:val="00974426"/>
    <w:rsid w:val="00977213"/>
    <w:rsid w:val="009800CC"/>
    <w:rsid w:val="009809C2"/>
    <w:rsid w:val="00982322"/>
    <w:rsid w:val="0098383F"/>
    <w:rsid w:val="00985A6F"/>
    <w:rsid w:val="00986358"/>
    <w:rsid w:val="00987205"/>
    <w:rsid w:val="009876A1"/>
    <w:rsid w:val="00987F10"/>
    <w:rsid w:val="00990417"/>
    <w:rsid w:val="00991DB7"/>
    <w:rsid w:val="00991E90"/>
    <w:rsid w:val="00992A01"/>
    <w:rsid w:val="00993C4E"/>
    <w:rsid w:val="0099494D"/>
    <w:rsid w:val="00996326"/>
    <w:rsid w:val="009A0BA4"/>
    <w:rsid w:val="009A2E35"/>
    <w:rsid w:val="009A3B77"/>
    <w:rsid w:val="009A6536"/>
    <w:rsid w:val="009A696A"/>
    <w:rsid w:val="009B2F09"/>
    <w:rsid w:val="009B3B72"/>
    <w:rsid w:val="009B5B53"/>
    <w:rsid w:val="009C0119"/>
    <w:rsid w:val="009C1D55"/>
    <w:rsid w:val="009C5678"/>
    <w:rsid w:val="009C68CD"/>
    <w:rsid w:val="009C6DF1"/>
    <w:rsid w:val="009D17F7"/>
    <w:rsid w:val="009D1C40"/>
    <w:rsid w:val="009D4B55"/>
    <w:rsid w:val="009D6D95"/>
    <w:rsid w:val="009D79B4"/>
    <w:rsid w:val="009D7DBA"/>
    <w:rsid w:val="009E23DF"/>
    <w:rsid w:val="009E4611"/>
    <w:rsid w:val="009E557B"/>
    <w:rsid w:val="009E5E37"/>
    <w:rsid w:val="009E64CA"/>
    <w:rsid w:val="009E6BC2"/>
    <w:rsid w:val="009F1304"/>
    <w:rsid w:val="009F3471"/>
    <w:rsid w:val="009F3FDE"/>
    <w:rsid w:val="009F64FF"/>
    <w:rsid w:val="00A025FE"/>
    <w:rsid w:val="00A02979"/>
    <w:rsid w:val="00A07750"/>
    <w:rsid w:val="00A15B1D"/>
    <w:rsid w:val="00A15F9C"/>
    <w:rsid w:val="00A16B85"/>
    <w:rsid w:val="00A306D7"/>
    <w:rsid w:val="00A35165"/>
    <w:rsid w:val="00A41688"/>
    <w:rsid w:val="00A425EC"/>
    <w:rsid w:val="00A43AC1"/>
    <w:rsid w:val="00A43DB5"/>
    <w:rsid w:val="00A44B4A"/>
    <w:rsid w:val="00A45DEF"/>
    <w:rsid w:val="00A4783E"/>
    <w:rsid w:val="00A47FA1"/>
    <w:rsid w:val="00A52260"/>
    <w:rsid w:val="00A619E9"/>
    <w:rsid w:val="00A61ED5"/>
    <w:rsid w:val="00A72B87"/>
    <w:rsid w:val="00A74573"/>
    <w:rsid w:val="00A80C04"/>
    <w:rsid w:val="00A829C7"/>
    <w:rsid w:val="00A84C27"/>
    <w:rsid w:val="00A86BE3"/>
    <w:rsid w:val="00A87D8B"/>
    <w:rsid w:val="00A91D74"/>
    <w:rsid w:val="00A9380E"/>
    <w:rsid w:val="00A94109"/>
    <w:rsid w:val="00A95521"/>
    <w:rsid w:val="00A97856"/>
    <w:rsid w:val="00AA0013"/>
    <w:rsid w:val="00AA759B"/>
    <w:rsid w:val="00AA7748"/>
    <w:rsid w:val="00AA7AB1"/>
    <w:rsid w:val="00AB022E"/>
    <w:rsid w:val="00AB0D0D"/>
    <w:rsid w:val="00AB4486"/>
    <w:rsid w:val="00AC49C4"/>
    <w:rsid w:val="00AC5525"/>
    <w:rsid w:val="00AC5BB9"/>
    <w:rsid w:val="00AD09C3"/>
    <w:rsid w:val="00AD23BB"/>
    <w:rsid w:val="00AD3B3D"/>
    <w:rsid w:val="00AD7919"/>
    <w:rsid w:val="00AE4D65"/>
    <w:rsid w:val="00AE5CE0"/>
    <w:rsid w:val="00AE659A"/>
    <w:rsid w:val="00AF103E"/>
    <w:rsid w:val="00AF1373"/>
    <w:rsid w:val="00AF766B"/>
    <w:rsid w:val="00B01752"/>
    <w:rsid w:val="00B05834"/>
    <w:rsid w:val="00B11C23"/>
    <w:rsid w:val="00B13AE0"/>
    <w:rsid w:val="00B14D19"/>
    <w:rsid w:val="00B158D7"/>
    <w:rsid w:val="00B16C8B"/>
    <w:rsid w:val="00B2175F"/>
    <w:rsid w:val="00B2409C"/>
    <w:rsid w:val="00B30633"/>
    <w:rsid w:val="00B31942"/>
    <w:rsid w:val="00B418C6"/>
    <w:rsid w:val="00B42A2B"/>
    <w:rsid w:val="00B453C1"/>
    <w:rsid w:val="00B51CFB"/>
    <w:rsid w:val="00B621D5"/>
    <w:rsid w:val="00B625AF"/>
    <w:rsid w:val="00B636C2"/>
    <w:rsid w:val="00B646FA"/>
    <w:rsid w:val="00B667B5"/>
    <w:rsid w:val="00B67CEA"/>
    <w:rsid w:val="00B72528"/>
    <w:rsid w:val="00B72A90"/>
    <w:rsid w:val="00B74EBB"/>
    <w:rsid w:val="00B76469"/>
    <w:rsid w:val="00B768A2"/>
    <w:rsid w:val="00B76A05"/>
    <w:rsid w:val="00B8255C"/>
    <w:rsid w:val="00B85177"/>
    <w:rsid w:val="00B869EA"/>
    <w:rsid w:val="00B86F87"/>
    <w:rsid w:val="00B93EE1"/>
    <w:rsid w:val="00B93FD6"/>
    <w:rsid w:val="00B95B44"/>
    <w:rsid w:val="00BA514E"/>
    <w:rsid w:val="00BB51F5"/>
    <w:rsid w:val="00BB63CD"/>
    <w:rsid w:val="00BC07E1"/>
    <w:rsid w:val="00BC2A2B"/>
    <w:rsid w:val="00BC35AE"/>
    <w:rsid w:val="00BC3958"/>
    <w:rsid w:val="00BC6046"/>
    <w:rsid w:val="00BD0976"/>
    <w:rsid w:val="00BD313A"/>
    <w:rsid w:val="00BD632B"/>
    <w:rsid w:val="00BD6EDC"/>
    <w:rsid w:val="00BD7545"/>
    <w:rsid w:val="00BE03A9"/>
    <w:rsid w:val="00BE2D79"/>
    <w:rsid w:val="00BE54DA"/>
    <w:rsid w:val="00BE5BA7"/>
    <w:rsid w:val="00BE5D7E"/>
    <w:rsid w:val="00BE657D"/>
    <w:rsid w:val="00BE7658"/>
    <w:rsid w:val="00BF2BD8"/>
    <w:rsid w:val="00BF689C"/>
    <w:rsid w:val="00C00DFB"/>
    <w:rsid w:val="00C03712"/>
    <w:rsid w:val="00C072ED"/>
    <w:rsid w:val="00C11665"/>
    <w:rsid w:val="00C11E5F"/>
    <w:rsid w:val="00C17206"/>
    <w:rsid w:val="00C223C9"/>
    <w:rsid w:val="00C2416F"/>
    <w:rsid w:val="00C24A9D"/>
    <w:rsid w:val="00C255AE"/>
    <w:rsid w:val="00C316F0"/>
    <w:rsid w:val="00C371F1"/>
    <w:rsid w:val="00C4320E"/>
    <w:rsid w:val="00C444A5"/>
    <w:rsid w:val="00C44EAD"/>
    <w:rsid w:val="00C46304"/>
    <w:rsid w:val="00C51085"/>
    <w:rsid w:val="00C51C62"/>
    <w:rsid w:val="00C51F10"/>
    <w:rsid w:val="00C52EB3"/>
    <w:rsid w:val="00C5314A"/>
    <w:rsid w:val="00C54EC3"/>
    <w:rsid w:val="00C5638B"/>
    <w:rsid w:val="00C57950"/>
    <w:rsid w:val="00C6004D"/>
    <w:rsid w:val="00C600C2"/>
    <w:rsid w:val="00C63A09"/>
    <w:rsid w:val="00C64CFA"/>
    <w:rsid w:val="00C6528B"/>
    <w:rsid w:val="00C668BB"/>
    <w:rsid w:val="00C717C5"/>
    <w:rsid w:val="00C72DF2"/>
    <w:rsid w:val="00C776EA"/>
    <w:rsid w:val="00C77D3E"/>
    <w:rsid w:val="00C819DD"/>
    <w:rsid w:val="00C81D34"/>
    <w:rsid w:val="00C83286"/>
    <w:rsid w:val="00C84DD0"/>
    <w:rsid w:val="00C8518E"/>
    <w:rsid w:val="00C86138"/>
    <w:rsid w:val="00C922F2"/>
    <w:rsid w:val="00C951CF"/>
    <w:rsid w:val="00C972D1"/>
    <w:rsid w:val="00C9781E"/>
    <w:rsid w:val="00CA0B70"/>
    <w:rsid w:val="00CA31F4"/>
    <w:rsid w:val="00CA4F9E"/>
    <w:rsid w:val="00CA502C"/>
    <w:rsid w:val="00CA7014"/>
    <w:rsid w:val="00CA7762"/>
    <w:rsid w:val="00CA792D"/>
    <w:rsid w:val="00CB1261"/>
    <w:rsid w:val="00CB233F"/>
    <w:rsid w:val="00CB7F4A"/>
    <w:rsid w:val="00CC032E"/>
    <w:rsid w:val="00CC3C93"/>
    <w:rsid w:val="00CC7BE3"/>
    <w:rsid w:val="00CD0F0E"/>
    <w:rsid w:val="00CD2779"/>
    <w:rsid w:val="00CD75FC"/>
    <w:rsid w:val="00CE34FA"/>
    <w:rsid w:val="00CF2718"/>
    <w:rsid w:val="00D02907"/>
    <w:rsid w:val="00D03842"/>
    <w:rsid w:val="00D06808"/>
    <w:rsid w:val="00D12E54"/>
    <w:rsid w:val="00D1773F"/>
    <w:rsid w:val="00D20D84"/>
    <w:rsid w:val="00D2170E"/>
    <w:rsid w:val="00D300FA"/>
    <w:rsid w:val="00D346E2"/>
    <w:rsid w:val="00D358AF"/>
    <w:rsid w:val="00D37022"/>
    <w:rsid w:val="00D428F9"/>
    <w:rsid w:val="00D435FA"/>
    <w:rsid w:val="00D43966"/>
    <w:rsid w:val="00D47D00"/>
    <w:rsid w:val="00D5037F"/>
    <w:rsid w:val="00D50B0A"/>
    <w:rsid w:val="00D53FCE"/>
    <w:rsid w:val="00D54D54"/>
    <w:rsid w:val="00D57C89"/>
    <w:rsid w:val="00D60DB7"/>
    <w:rsid w:val="00D614F6"/>
    <w:rsid w:val="00D62A63"/>
    <w:rsid w:val="00D715EF"/>
    <w:rsid w:val="00D73863"/>
    <w:rsid w:val="00D84BCE"/>
    <w:rsid w:val="00D90EB0"/>
    <w:rsid w:val="00D91E55"/>
    <w:rsid w:val="00D927E2"/>
    <w:rsid w:val="00D9365F"/>
    <w:rsid w:val="00D97C88"/>
    <w:rsid w:val="00DA342F"/>
    <w:rsid w:val="00DA3691"/>
    <w:rsid w:val="00DA695F"/>
    <w:rsid w:val="00DA7D07"/>
    <w:rsid w:val="00DB3E09"/>
    <w:rsid w:val="00DB759E"/>
    <w:rsid w:val="00DC3FF5"/>
    <w:rsid w:val="00DC4E70"/>
    <w:rsid w:val="00DC6B7B"/>
    <w:rsid w:val="00DD0A98"/>
    <w:rsid w:val="00DD4BAD"/>
    <w:rsid w:val="00DD64B5"/>
    <w:rsid w:val="00DE6D49"/>
    <w:rsid w:val="00DF01FD"/>
    <w:rsid w:val="00DF2C17"/>
    <w:rsid w:val="00DF5873"/>
    <w:rsid w:val="00DF6247"/>
    <w:rsid w:val="00E03F2F"/>
    <w:rsid w:val="00E06ECF"/>
    <w:rsid w:val="00E1030D"/>
    <w:rsid w:val="00E105AE"/>
    <w:rsid w:val="00E12FF0"/>
    <w:rsid w:val="00E131A9"/>
    <w:rsid w:val="00E16306"/>
    <w:rsid w:val="00E17C8A"/>
    <w:rsid w:val="00E2041C"/>
    <w:rsid w:val="00E237E7"/>
    <w:rsid w:val="00E2380C"/>
    <w:rsid w:val="00E25D5B"/>
    <w:rsid w:val="00E25D67"/>
    <w:rsid w:val="00E332E4"/>
    <w:rsid w:val="00E376E9"/>
    <w:rsid w:val="00E44A6B"/>
    <w:rsid w:val="00E528C1"/>
    <w:rsid w:val="00E52E38"/>
    <w:rsid w:val="00E61B61"/>
    <w:rsid w:val="00E636FA"/>
    <w:rsid w:val="00E65AB7"/>
    <w:rsid w:val="00E74492"/>
    <w:rsid w:val="00E7683F"/>
    <w:rsid w:val="00E77688"/>
    <w:rsid w:val="00E8070D"/>
    <w:rsid w:val="00E80998"/>
    <w:rsid w:val="00E836D8"/>
    <w:rsid w:val="00E84CED"/>
    <w:rsid w:val="00E9013D"/>
    <w:rsid w:val="00E90A08"/>
    <w:rsid w:val="00E93586"/>
    <w:rsid w:val="00E95229"/>
    <w:rsid w:val="00E97E01"/>
    <w:rsid w:val="00EA01FE"/>
    <w:rsid w:val="00EA13CD"/>
    <w:rsid w:val="00EA15D0"/>
    <w:rsid w:val="00EA351A"/>
    <w:rsid w:val="00EA6A09"/>
    <w:rsid w:val="00EA7E5E"/>
    <w:rsid w:val="00EB0C37"/>
    <w:rsid w:val="00EB3AFC"/>
    <w:rsid w:val="00EB640C"/>
    <w:rsid w:val="00EB6BE3"/>
    <w:rsid w:val="00EB7499"/>
    <w:rsid w:val="00EC37E1"/>
    <w:rsid w:val="00EC6017"/>
    <w:rsid w:val="00EC677A"/>
    <w:rsid w:val="00EC6F86"/>
    <w:rsid w:val="00EC7A78"/>
    <w:rsid w:val="00ED009A"/>
    <w:rsid w:val="00ED59EF"/>
    <w:rsid w:val="00ED6406"/>
    <w:rsid w:val="00EE2FED"/>
    <w:rsid w:val="00EE4A7F"/>
    <w:rsid w:val="00EE5618"/>
    <w:rsid w:val="00EE62A5"/>
    <w:rsid w:val="00EE62C3"/>
    <w:rsid w:val="00EE63A7"/>
    <w:rsid w:val="00EF0B69"/>
    <w:rsid w:val="00EF13DE"/>
    <w:rsid w:val="00EF6248"/>
    <w:rsid w:val="00EF657D"/>
    <w:rsid w:val="00F002C9"/>
    <w:rsid w:val="00F0185C"/>
    <w:rsid w:val="00F01A50"/>
    <w:rsid w:val="00F05D32"/>
    <w:rsid w:val="00F16F41"/>
    <w:rsid w:val="00F208B3"/>
    <w:rsid w:val="00F238A5"/>
    <w:rsid w:val="00F27EFF"/>
    <w:rsid w:val="00F32EAC"/>
    <w:rsid w:val="00F34151"/>
    <w:rsid w:val="00F36644"/>
    <w:rsid w:val="00F366D9"/>
    <w:rsid w:val="00F36CA0"/>
    <w:rsid w:val="00F36EBC"/>
    <w:rsid w:val="00F40A39"/>
    <w:rsid w:val="00F41E27"/>
    <w:rsid w:val="00F42AB2"/>
    <w:rsid w:val="00F450DA"/>
    <w:rsid w:val="00F47301"/>
    <w:rsid w:val="00F5197B"/>
    <w:rsid w:val="00F544B9"/>
    <w:rsid w:val="00F55167"/>
    <w:rsid w:val="00F5670D"/>
    <w:rsid w:val="00F64E9D"/>
    <w:rsid w:val="00F67357"/>
    <w:rsid w:val="00F726DC"/>
    <w:rsid w:val="00F7284E"/>
    <w:rsid w:val="00F74325"/>
    <w:rsid w:val="00F852A0"/>
    <w:rsid w:val="00F86A3C"/>
    <w:rsid w:val="00F90F59"/>
    <w:rsid w:val="00F97A47"/>
    <w:rsid w:val="00FA3DE2"/>
    <w:rsid w:val="00FA7DD1"/>
    <w:rsid w:val="00FB0226"/>
    <w:rsid w:val="00FB0EA4"/>
    <w:rsid w:val="00FB1800"/>
    <w:rsid w:val="00FB2935"/>
    <w:rsid w:val="00FB2A5D"/>
    <w:rsid w:val="00FB4CA1"/>
    <w:rsid w:val="00FB6257"/>
    <w:rsid w:val="00FC3489"/>
    <w:rsid w:val="00FC3D6E"/>
    <w:rsid w:val="00FC62AD"/>
    <w:rsid w:val="00FC74A9"/>
    <w:rsid w:val="00FC79C4"/>
    <w:rsid w:val="00FD017E"/>
    <w:rsid w:val="00FD1592"/>
    <w:rsid w:val="00FD202D"/>
    <w:rsid w:val="00FD3A1A"/>
    <w:rsid w:val="00FD41C1"/>
    <w:rsid w:val="00FD7B28"/>
    <w:rsid w:val="00FE47F2"/>
    <w:rsid w:val="00FE4C18"/>
    <w:rsid w:val="00FE4CD6"/>
    <w:rsid w:val="00FF0768"/>
    <w:rsid w:val="00FF1B4D"/>
    <w:rsid w:val="00FF2957"/>
    <w:rsid w:val="00FF33C7"/>
    <w:rsid w:val="00FF44B7"/>
    <w:rsid w:val="00FF494E"/>
    <w:rsid w:val="00FF699A"/>
  </w:rsids>
  <m:mathPr>
    <m:mathFont m:val="Cambria Math"/>
    <m:brkBin m:val="before"/>
    <m:brkBinSub m:val="--"/>
    <m:smallFrac m:val="0"/>
    <m:dispDef m:val="0"/>
    <m:lMargin m:val="0"/>
    <m:rMargin m:val="0"/>
    <m:defJc m:val="centerGroup"/>
    <m:wrapRight/>
    <m:intLim m:val="subSup"/>
    <m:naryLim m:val="subSup"/>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DD18E"/>
  <w15:docId w15:val="{84DA1AE3-AC0D-4541-8FCA-E0EB4B0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uiPriority="13" w:qFormat="1"/>
    <w:lsdException w:name="List 2" w:semiHidden="1" w:unhideWhenUsed="1"/>
    <w:lsdException w:name="List 3"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67A9"/>
    <w:rPr>
      <w:rFonts w:asciiTheme="minorHAnsi" w:eastAsiaTheme="minorEastAsia" w:hAnsiTheme="minorHAnsi"/>
      <w:sz w:val="24"/>
      <w:szCs w:val="24"/>
      <w:lang w:val="en-GB"/>
    </w:rPr>
  </w:style>
  <w:style w:type="paragraph" w:styleId="Heading1">
    <w:name w:val="heading 1"/>
    <w:basedOn w:val="Normal"/>
    <w:next w:val="Heading2"/>
    <w:link w:val="Heading1Char"/>
    <w:autoRedefine/>
    <w:uiPriority w:val="9"/>
    <w:qFormat/>
    <w:rsid w:val="005C00DA"/>
    <w:pPr>
      <w:keepNext/>
      <w:keepLines/>
      <w:pageBreakBefore/>
      <w:framePr w:w="10138" w:wrap="around" w:vAnchor="text" w:hAnchor="margin" w:x="-226" w:y="7"/>
      <w:pBdr>
        <w:top w:val="single" w:sz="24" w:space="1" w:color="2A3880" w:themeColor="text2"/>
      </w:pBdr>
      <w:spacing w:after="480"/>
      <w:ind w:left="227"/>
      <w:outlineLvl w:val="0"/>
    </w:pPr>
    <w:rPr>
      <w:rFonts w:ascii="Times New Roman" w:eastAsiaTheme="majorEastAsia" w:hAnsi="Times New Roman" w:cstheme="majorBidi"/>
      <w:b/>
      <w:bCs/>
      <w:i/>
      <w:color w:val="2A3880" w:themeColor="text2"/>
      <w:sz w:val="46"/>
      <w:szCs w:val="28"/>
    </w:rPr>
  </w:style>
  <w:style w:type="paragraph" w:styleId="Heading2">
    <w:name w:val="heading 2"/>
    <w:basedOn w:val="Normal"/>
    <w:next w:val="BodyText"/>
    <w:link w:val="Heading2Char"/>
    <w:uiPriority w:val="9"/>
    <w:unhideWhenUsed/>
    <w:qFormat/>
    <w:rsid w:val="003B2CD5"/>
    <w:pPr>
      <w:keepNext/>
      <w:keepLines/>
      <w:spacing w:before="240" w:after="240" w:line="260" w:lineRule="atLeast"/>
      <w:outlineLvl w:val="1"/>
    </w:pPr>
    <w:rPr>
      <w:rFonts w:ascii="Times New Roman" w:eastAsiaTheme="majorEastAsia" w:hAnsi="Times New Roman" w:cstheme="majorBidi"/>
      <w:b/>
      <w:bCs/>
      <w:i/>
      <w:sz w:val="32"/>
      <w:szCs w:val="26"/>
    </w:rPr>
  </w:style>
  <w:style w:type="paragraph" w:styleId="Heading3">
    <w:name w:val="heading 3"/>
    <w:basedOn w:val="Normal"/>
    <w:next w:val="BodyText"/>
    <w:link w:val="Heading3Char"/>
    <w:uiPriority w:val="9"/>
    <w:unhideWhenUsed/>
    <w:qFormat/>
    <w:rsid w:val="0087703B"/>
    <w:pPr>
      <w:keepNext/>
      <w:keepLines/>
      <w:spacing w:after="240" w:line="260" w:lineRule="atLeast"/>
      <w:outlineLvl w:val="2"/>
    </w:pPr>
    <w:rPr>
      <w:rFonts w:ascii="Arial" w:eastAsiaTheme="majorEastAsia" w:hAnsi="Arial" w:cstheme="majorBidi"/>
      <w:bCs/>
      <w:color w:val="000000" w:themeColor="text1"/>
      <w:sz w:val="26"/>
      <w:szCs w:val="20"/>
    </w:rPr>
  </w:style>
  <w:style w:type="paragraph" w:styleId="Heading4">
    <w:name w:val="heading 4"/>
    <w:basedOn w:val="Normal"/>
    <w:next w:val="BodyText"/>
    <w:link w:val="Heading4Char"/>
    <w:uiPriority w:val="9"/>
    <w:unhideWhenUsed/>
    <w:rsid w:val="00F42AB2"/>
    <w:pPr>
      <w:keepNext/>
      <w:keepLines/>
      <w:spacing w:after="40"/>
      <w:outlineLvl w:val="3"/>
    </w:pPr>
    <w:rPr>
      <w:rFonts w:asciiTheme="majorHAnsi" w:eastAsiaTheme="majorEastAsia" w:hAnsiTheme="majorHAnsi" w:cstheme="majorBidi"/>
      <w:bCs/>
      <w:i/>
      <w:iCs/>
      <w:color w:val="000000" w:themeColor="text1"/>
      <w:szCs w:val="20"/>
    </w:rPr>
  </w:style>
  <w:style w:type="paragraph" w:styleId="Heading5">
    <w:name w:val="heading 5"/>
    <w:basedOn w:val="Normal"/>
    <w:next w:val="BodyText"/>
    <w:link w:val="Heading5Char"/>
    <w:uiPriority w:val="9"/>
    <w:unhideWhenUsed/>
    <w:rsid w:val="00F42AB2"/>
    <w:pPr>
      <w:keepNext/>
      <w:keepLines/>
      <w:spacing w:after="40"/>
      <w:outlineLvl w:val="4"/>
    </w:pPr>
    <w:rPr>
      <w:rFonts w:asciiTheme="majorHAnsi" w:eastAsiaTheme="majorEastAsia" w:hAnsiTheme="majorHAnsi" w:cstheme="majorBidi"/>
      <w:b/>
      <w:i/>
      <w:color w:val="E7E6E6" w:themeColor="background2"/>
      <w:sz w:val="20"/>
      <w:szCs w:val="20"/>
    </w:rPr>
  </w:style>
  <w:style w:type="paragraph" w:styleId="Heading6">
    <w:name w:val="heading 6"/>
    <w:basedOn w:val="Normal"/>
    <w:next w:val="Normal"/>
    <w:link w:val="Heading6Char"/>
    <w:uiPriority w:val="9"/>
    <w:unhideWhenUsed/>
    <w:qFormat/>
    <w:rsid w:val="00F42AB2"/>
    <w:pPr>
      <w:keepNext/>
      <w:keepLines/>
      <w:spacing w:after="40"/>
      <w:outlineLvl w:val="5"/>
    </w:pPr>
    <w:rPr>
      <w:rFonts w:asciiTheme="majorHAnsi" w:eastAsiaTheme="majorEastAsia" w:hAnsiTheme="majorHAnsi" w:cstheme="majorBidi"/>
      <w:i/>
      <w:iCs/>
      <w:color w:val="E7E6E6" w:themeColor="background2"/>
      <w:sz w:val="20"/>
      <w:szCs w:val="20"/>
    </w:rPr>
  </w:style>
  <w:style w:type="paragraph" w:styleId="Heading7">
    <w:name w:val="heading 7"/>
    <w:basedOn w:val="ListBullet"/>
    <w:next w:val="Normal"/>
    <w:link w:val="Heading7Char"/>
    <w:uiPriority w:val="9"/>
    <w:unhideWhenUsed/>
    <w:qFormat/>
    <w:rsid w:val="00C717C5"/>
    <w:pPr>
      <w:numPr>
        <w:numId w:val="0"/>
      </w:numPr>
      <w:ind w:left="567" w:hanging="567"/>
      <w:outlineLvl w:val="6"/>
    </w:pPr>
  </w:style>
  <w:style w:type="paragraph" w:styleId="Heading8">
    <w:name w:val="heading 8"/>
    <w:basedOn w:val="Normal"/>
    <w:next w:val="Normal"/>
    <w:link w:val="Heading8Char"/>
    <w:uiPriority w:val="9"/>
    <w:semiHidden/>
    <w:unhideWhenUsed/>
    <w:qFormat/>
    <w:rsid w:val="00F42AB2"/>
    <w:pPr>
      <w:keepNext/>
      <w:keepLines/>
      <w:numPr>
        <w:ilvl w:val="7"/>
        <w:numId w:val="1"/>
      </w:numPr>
      <w:spacing w:after="40"/>
      <w:outlineLvl w:val="7"/>
    </w:pPr>
    <w:rPr>
      <w:rFonts w:asciiTheme="majorHAnsi" w:eastAsiaTheme="majorEastAsia" w:hAnsiTheme="majorHAnsi" w:cstheme="majorBidi"/>
      <w:i/>
      <w:sz w:val="20"/>
      <w:szCs w:val="20"/>
    </w:rPr>
  </w:style>
  <w:style w:type="paragraph" w:styleId="Heading9">
    <w:name w:val="heading 9"/>
    <w:basedOn w:val="Normal"/>
    <w:next w:val="Normal"/>
    <w:link w:val="Heading9Char"/>
    <w:uiPriority w:val="9"/>
    <w:semiHidden/>
    <w:unhideWhenUsed/>
    <w:qFormat/>
    <w:rsid w:val="00F42AB2"/>
    <w:pPr>
      <w:keepNext/>
      <w:keepLines/>
      <w:numPr>
        <w:ilvl w:val="8"/>
        <w:numId w:val="1"/>
      </w:numPr>
      <w:spacing w:after="4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82491"/>
    <w:pPr>
      <w:tabs>
        <w:tab w:val="center" w:pos="4320"/>
        <w:tab w:val="right" w:pos="8640"/>
      </w:tabs>
    </w:pPr>
  </w:style>
  <w:style w:type="character" w:customStyle="1" w:styleId="HeaderChar">
    <w:name w:val="Header Char"/>
    <w:basedOn w:val="DefaultParagraphFont"/>
    <w:link w:val="Header"/>
    <w:uiPriority w:val="99"/>
    <w:semiHidden/>
    <w:locked/>
    <w:rsid w:val="00782491"/>
    <w:rPr>
      <w:rFonts w:asciiTheme="minorHAnsi" w:eastAsiaTheme="minorEastAsia" w:hAnsiTheme="minorHAnsi" w:cs="Times New Roman"/>
      <w:sz w:val="24"/>
    </w:rPr>
  </w:style>
  <w:style w:type="paragraph" w:styleId="Footer">
    <w:name w:val="footer"/>
    <w:basedOn w:val="Normal"/>
    <w:link w:val="FooterChar"/>
    <w:uiPriority w:val="99"/>
    <w:rsid w:val="00C717C5"/>
    <w:pPr>
      <w:tabs>
        <w:tab w:val="center" w:pos="4320"/>
        <w:tab w:val="right" w:pos="8640"/>
      </w:tabs>
    </w:pPr>
    <w:rPr>
      <w:rFonts w:ascii="Arial" w:hAnsi="Arial"/>
      <w:sz w:val="16"/>
    </w:rPr>
  </w:style>
  <w:style w:type="character" w:customStyle="1" w:styleId="FooterChar">
    <w:name w:val="Footer Char"/>
    <w:basedOn w:val="DefaultParagraphFont"/>
    <w:link w:val="Footer"/>
    <w:uiPriority w:val="99"/>
    <w:locked/>
    <w:rsid w:val="00C717C5"/>
    <w:rPr>
      <w:rFonts w:ascii="Arial" w:eastAsiaTheme="minorEastAsia" w:hAnsi="Arial"/>
      <w:sz w:val="16"/>
      <w:szCs w:val="24"/>
    </w:rPr>
  </w:style>
  <w:style w:type="paragraph" w:customStyle="1" w:styleId="BasicParagraph">
    <w:name w:val="[Basic Paragraph]"/>
    <w:uiPriority w:val="99"/>
    <w:rsid w:val="004D575E"/>
    <w:pPr>
      <w:widowControl w:val="0"/>
      <w:pBdr>
        <w:top w:val="nil"/>
        <w:left w:val="nil"/>
        <w:bottom w:val="nil"/>
        <w:right w:val="nil"/>
        <w:between w:val="nil"/>
        <w:bar w:val="nil"/>
      </w:pBdr>
      <w:spacing w:after="200" w:line="260" w:lineRule="atLeast"/>
    </w:pPr>
    <w:rPr>
      <w:rFonts w:ascii="Arial" w:eastAsia="Arial Unicode MS" w:hAnsi="Arial" w:cs="Arial Unicode MS"/>
      <w:color w:val="A6A6A6"/>
      <w:u w:color="A6A6A6"/>
      <w:bdr w:val="nil"/>
      <w:lang w:eastAsia="en-GB"/>
    </w:rPr>
  </w:style>
  <w:style w:type="paragraph" w:customStyle="1" w:styleId="FrontCover-MainHeading">
    <w:name w:val="Front Cover - Main Heading"/>
    <w:qFormat/>
    <w:rsid w:val="00F42AB2"/>
    <w:rPr>
      <w:rFonts w:eastAsiaTheme="minorEastAsia"/>
      <w:b/>
      <w:bCs/>
      <w:i/>
      <w:iCs/>
      <w:sz w:val="95"/>
      <w:szCs w:val="24"/>
    </w:rPr>
  </w:style>
  <w:style w:type="paragraph" w:customStyle="1" w:styleId="FrontCover-SubHeading">
    <w:name w:val="Front Cover - Sub Heading"/>
    <w:qFormat/>
    <w:rsid w:val="00F42AB2"/>
    <w:rPr>
      <w:rFonts w:eastAsiaTheme="minorEastAsia"/>
      <w:sz w:val="95"/>
      <w:szCs w:val="24"/>
    </w:rPr>
  </w:style>
  <w:style w:type="paragraph" w:customStyle="1" w:styleId="Appendix1">
    <w:name w:val="Appendix 1"/>
    <w:basedOn w:val="Heading1"/>
    <w:next w:val="BodyText"/>
    <w:qFormat/>
    <w:rsid w:val="00C717C5"/>
    <w:pPr>
      <w:framePr w:w="10068" w:wrap="around" w:y="9"/>
    </w:pPr>
    <w:rPr>
      <w:b w:val="0"/>
      <w:bCs w:val="0"/>
    </w:rPr>
  </w:style>
  <w:style w:type="character" w:customStyle="1" w:styleId="Heading1Char">
    <w:name w:val="Heading 1 Char"/>
    <w:basedOn w:val="DefaultParagraphFont"/>
    <w:link w:val="Heading1"/>
    <w:uiPriority w:val="9"/>
    <w:rsid w:val="005C00DA"/>
    <w:rPr>
      <w:rFonts w:eastAsiaTheme="majorEastAsia" w:cstheme="majorBidi"/>
      <w:b/>
      <w:bCs/>
      <w:i/>
      <w:color w:val="2A3880" w:themeColor="text2"/>
      <w:sz w:val="46"/>
      <w:szCs w:val="28"/>
      <w:lang w:val="en-GB"/>
    </w:rPr>
  </w:style>
  <w:style w:type="paragraph" w:styleId="BodyText">
    <w:name w:val="Body Text"/>
    <w:basedOn w:val="Normal"/>
    <w:link w:val="BodyTextChar"/>
    <w:qFormat/>
    <w:rsid w:val="0087703B"/>
    <w:pPr>
      <w:spacing w:after="240" w:line="260" w:lineRule="atLeast"/>
    </w:pPr>
    <w:rPr>
      <w:rFonts w:ascii="Arial" w:eastAsiaTheme="minorHAnsi" w:hAnsi="Arial" w:cs="Arial"/>
      <w:sz w:val="20"/>
      <w:szCs w:val="20"/>
    </w:rPr>
  </w:style>
  <w:style w:type="character" w:customStyle="1" w:styleId="BodyTextChar">
    <w:name w:val="Body Text Char"/>
    <w:basedOn w:val="DefaultParagraphFont"/>
    <w:link w:val="BodyText"/>
    <w:rsid w:val="0087703B"/>
    <w:rPr>
      <w:rFonts w:ascii="Arial" w:eastAsiaTheme="minorHAnsi" w:hAnsi="Arial" w:cs="Arial"/>
      <w:lang w:val="en-GB"/>
    </w:rPr>
  </w:style>
  <w:style w:type="paragraph" w:customStyle="1" w:styleId="Appendix2">
    <w:name w:val="Appendix 2"/>
    <w:basedOn w:val="Heading2"/>
    <w:qFormat/>
    <w:rsid w:val="00F42AB2"/>
    <w:pPr>
      <w:spacing w:after="60"/>
    </w:pPr>
    <w:rPr>
      <w:bCs w:val="0"/>
      <w:i w:val="0"/>
      <w:color w:val="2A3880" w:themeColor="text2"/>
    </w:rPr>
  </w:style>
  <w:style w:type="character" w:customStyle="1" w:styleId="Heading2Char">
    <w:name w:val="Heading 2 Char"/>
    <w:basedOn w:val="DefaultParagraphFont"/>
    <w:link w:val="Heading2"/>
    <w:uiPriority w:val="9"/>
    <w:rsid w:val="003B2CD5"/>
    <w:rPr>
      <w:rFonts w:eastAsiaTheme="majorEastAsia" w:cstheme="majorBidi"/>
      <w:b/>
      <w:bCs/>
      <w:i/>
      <w:sz w:val="32"/>
      <w:szCs w:val="26"/>
      <w:lang w:val="en-GB"/>
    </w:rPr>
  </w:style>
  <w:style w:type="paragraph" w:customStyle="1" w:styleId="Appendix3">
    <w:name w:val="Appendix 3"/>
    <w:basedOn w:val="Heading3"/>
    <w:rsid w:val="00F42AB2"/>
    <w:pPr>
      <w:spacing w:after="40"/>
    </w:pPr>
    <w:rPr>
      <w:b/>
      <w:bCs w:val="0"/>
      <w:i/>
    </w:rPr>
  </w:style>
  <w:style w:type="character" w:customStyle="1" w:styleId="Heading3Char">
    <w:name w:val="Heading 3 Char"/>
    <w:basedOn w:val="DefaultParagraphFont"/>
    <w:link w:val="Heading3"/>
    <w:uiPriority w:val="9"/>
    <w:rsid w:val="0087703B"/>
    <w:rPr>
      <w:rFonts w:ascii="Arial" w:eastAsiaTheme="majorEastAsia" w:hAnsi="Arial" w:cstheme="majorBidi"/>
      <w:bCs/>
      <w:color w:val="000000" w:themeColor="text1"/>
      <w:sz w:val="26"/>
      <w:lang w:val="en-GB"/>
    </w:rPr>
  </w:style>
  <w:style w:type="paragraph" w:customStyle="1" w:styleId="Appendix4">
    <w:name w:val="Appendix 4"/>
    <w:basedOn w:val="Heading4"/>
    <w:unhideWhenUsed/>
    <w:rsid w:val="00F42AB2"/>
    <w:rPr>
      <w:iCs w:val="0"/>
    </w:rPr>
  </w:style>
  <w:style w:type="character" w:customStyle="1" w:styleId="Heading4Char">
    <w:name w:val="Heading 4 Char"/>
    <w:basedOn w:val="DefaultParagraphFont"/>
    <w:link w:val="Heading4"/>
    <w:uiPriority w:val="9"/>
    <w:rsid w:val="00F42AB2"/>
    <w:rPr>
      <w:rFonts w:asciiTheme="majorHAnsi" w:eastAsiaTheme="majorEastAsia" w:hAnsiTheme="majorHAnsi" w:cstheme="majorBidi"/>
      <w:bCs/>
      <w:i/>
      <w:iCs/>
      <w:color w:val="000000" w:themeColor="text1"/>
      <w:sz w:val="24"/>
      <w:lang w:val="en-GB"/>
    </w:rPr>
  </w:style>
  <w:style w:type="paragraph" w:customStyle="1" w:styleId="BodyTextwhite">
    <w:name w:val="Body Text (white)"/>
    <w:basedOn w:val="BodyText"/>
    <w:link w:val="BodyTextwhiteChar"/>
    <w:uiPriority w:val="99"/>
    <w:qFormat/>
    <w:rsid w:val="00F42AB2"/>
    <w:rPr>
      <w:color w:val="FFFFFF"/>
    </w:rPr>
  </w:style>
  <w:style w:type="character" w:customStyle="1" w:styleId="BodyTextwhiteChar">
    <w:name w:val="Body Text (white) Char"/>
    <w:basedOn w:val="BodyTextChar"/>
    <w:link w:val="BodyTextwhite"/>
    <w:uiPriority w:val="99"/>
    <w:rsid w:val="00F42AB2"/>
    <w:rPr>
      <w:rFonts w:ascii="Arial" w:eastAsiaTheme="minorHAnsi" w:hAnsi="Arial" w:cs="Arial"/>
      <w:color w:val="FFFFFF"/>
      <w:lang w:val="en-GB"/>
    </w:rPr>
  </w:style>
  <w:style w:type="paragraph" w:styleId="Caption">
    <w:name w:val="caption"/>
    <w:basedOn w:val="Normal"/>
    <w:next w:val="Normal"/>
    <w:unhideWhenUsed/>
    <w:qFormat/>
    <w:rsid w:val="00C717C5"/>
    <w:pPr>
      <w:spacing w:after="240" w:line="240" w:lineRule="atLeast"/>
    </w:pPr>
    <w:rPr>
      <w:rFonts w:ascii="Arial" w:eastAsiaTheme="minorHAnsi" w:hAnsi="Arial" w:cstheme="minorBidi"/>
      <w:i/>
      <w:sz w:val="16"/>
      <w:szCs w:val="20"/>
    </w:rPr>
  </w:style>
  <w:style w:type="paragraph" w:customStyle="1" w:styleId="Contents">
    <w:name w:val="Contents"/>
    <w:qFormat/>
    <w:rsid w:val="005C00DA"/>
    <w:pPr>
      <w:framePr w:w="7799" w:wrap="around" w:vAnchor="text" w:hAnchor="margin" w:x="-226" w:y="4"/>
      <w:pBdr>
        <w:top w:val="single" w:sz="24" w:space="1" w:color="2A3880" w:themeColor="text2"/>
      </w:pBdr>
      <w:tabs>
        <w:tab w:val="left" w:pos="4526"/>
      </w:tabs>
      <w:spacing w:after="480" w:line="264" w:lineRule="auto"/>
      <w:ind w:left="227"/>
    </w:pPr>
    <w:rPr>
      <w:rFonts w:eastAsiaTheme="majorEastAsia" w:cstheme="majorBidi"/>
      <w:b/>
      <w:bCs/>
      <w:i/>
      <w:color w:val="2A3880" w:themeColor="text2"/>
      <w:sz w:val="46"/>
      <w:szCs w:val="40"/>
      <w:lang w:val="en-GB"/>
    </w:rPr>
  </w:style>
  <w:style w:type="paragraph" w:customStyle="1" w:styleId="Heading1NoSpacing">
    <w:name w:val="Heading 1 No Spacing"/>
    <w:basedOn w:val="Heading1"/>
    <w:next w:val="Heading2"/>
    <w:uiPriority w:val="9"/>
    <w:qFormat/>
    <w:rsid w:val="00F42AB2"/>
    <w:pPr>
      <w:framePr w:w="0" w:wrap="auto" w:vAnchor="margin" w:hAnchor="text" w:yAlign="inline"/>
      <w:spacing w:after="0" w:line="600" w:lineRule="atLeast"/>
    </w:pPr>
  </w:style>
  <w:style w:type="paragraph" w:customStyle="1" w:styleId="Heading1SIDEBAR">
    <w:name w:val="Heading 1 SIDEBAR"/>
    <w:basedOn w:val="Heading1"/>
    <w:uiPriority w:val="99"/>
    <w:qFormat/>
    <w:rsid w:val="00F42AB2"/>
    <w:pPr>
      <w:framePr w:w="7758" w:wrap="around" w:y="16"/>
    </w:pPr>
  </w:style>
  <w:style w:type="character" w:customStyle="1" w:styleId="Heading5Char">
    <w:name w:val="Heading 5 Char"/>
    <w:basedOn w:val="DefaultParagraphFont"/>
    <w:link w:val="Heading5"/>
    <w:uiPriority w:val="9"/>
    <w:rsid w:val="00F42AB2"/>
    <w:rPr>
      <w:rFonts w:asciiTheme="majorHAnsi" w:eastAsiaTheme="majorEastAsia" w:hAnsiTheme="majorHAnsi" w:cstheme="majorBidi"/>
      <w:b/>
      <w:i/>
      <w:color w:val="E7E6E6" w:themeColor="background2"/>
      <w:lang w:val="en-GB"/>
    </w:rPr>
  </w:style>
  <w:style w:type="character" w:customStyle="1" w:styleId="Heading6Char">
    <w:name w:val="Heading 6 Char"/>
    <w:basedOn w:val="DefaultParagraphFont"/>
    <w:link w:val="Heading6"/>
    <w:uiPriority w:val="9"/>
    <w:rsid w:val="00F42AB2"/>
    <w:rPr>
      <w:rFonts w:asciiTheme="majorHAnsi" w:eastAsiaTheme="majorEastAsia" w:hAnsiTheme="majorHAnsi" w:cstheme="majorBidi"/>
      <w:i/>
      <w:iCs/>
      <w:color w:val="E7E6E6" w:themeColor="background2"/>
      <w:lang w:val="en-GB"/>
    </w:rPr>
  </w:style>
  <w:style w:type="character" w:customStyle="1" w:styleId="Heading7Char">
    <w:name w:val="Heading 7 Char"/>
    <w:basedOn w:val="DefaultParagraphFont"/>
    <w:link w:val="Heading7"/>
    <w:uiPriority w:val="9"/>
    <w:rsid w:val="00C717C5"/>
    <w:rPr>
      <w:rFonts w:ascii="Arial" w:eastAsiaTheme="minorHAnsi" w:hAnsi="Arial" w:cs="Arial"/>
      <w:lang w:val="en-GB"/>
    </w:rPr>
  </w:style>
  <w:style w:type="character" w:customStyle="1" w:styleId="Heading8Char">
    <w:name w:val="Heading 8 Char"/>
    <w:basedOn w:val="DefaultParagraphFont"/>
    <w:link w:val="Heading8"/>
    <w:uiPriority w:val="9"/>
    <w:semiHidden/>
    <w:rsid w:val="00F42AB2"/>
    <w:rPr>
      <w:rFonts w:asciiTheme="majorHAnsi" w:eastAsiaTheme="majorEastAsia" w:hAnsiTheme="majorHAnsi" w:cstheme="majorBidi"/>
      <w:i/>
      <w:lang w:val="en-GB"/>
    </w:rPr>
  </w:style>
  <w:style w:type="character" w:customStyle="1" w:styleId="Heading9Char">
    <w:name w:val="Heading 9 Char"/>
    <w:basedOn w:val="DefaultParagraphFont"/>
    <w:link w:val="Heading9"/>
    <w:uiPriority w:val="9"/>
    <w:semiHidden/>
    <w:rsid w:val="00F42AB2"/>
    <w:rPr>
      <w:rFonts w:asciiTheme="majorHAnsi" w:eastAsiaTheme="majorEastAsia" w:hAnsiTheme="majorHAnsi" w:cstheme="majorBidi"/>
      <w:i/>
      <w:iCs/>
      <w:lang w:val="en-GB"/>
    </w:rPr>
  </w:style>
  <w:style w:type="paragraph" w:styleId="ListBullet">
    <w:name w:val="List Bullet"/>
    <w:basedOn w:val="BodyText"/>
    <w:uiPriority w:val="13"/>
    <w:unhideWhenUsed/>
    <w:qFormat/>
    <w:rsid w:val="004B3045"/>
    <w:pPr>
      <w:numPr>
        <w:numId w:val="2"/>
      </w:numPr>
    </w:pPr>
  </w:style>
  <w:style w:type="paragraph" w:styleId="ListBullet2">
    <w:name w:val="List Bullet 2"/>
    <w:basedOn w:val="BodyText"/>
    <w:uiPriority w:val="13"/>
    <w:unhideWhenUsed/>
    <w:qFormat/>
    <w:rsid w:val="00F42AB2"/>
    <w:pPr>
      <w:numPr>
        <w:ilvl w:val="1"/>
        <w:numId w:val="2"/>
      </w:numPr>
      <w:contextualSpacing/>
    </w:pPr>
    <w:rPr>
      <w:rFonts w:ascii="Georgia" w:hAnsi="Georgia"/>
    </w:rPr>
  </w:style>
  <w:style w:type="paragraph" w:styleId="ListBullet3">
    <w:name w:val="List Bullet 3"/>
    <w:basedOn w:val="BodyText"/>
    <w:uiPriority w:val="13"/>
    <w:unhideWhenUsed/>
    <w:qFormat/>
    <w:rsid w:val="00F42AB2"/>
    <w:pPr>
      <w:numPr>
        <w:ilvl w:val="2"/>
        <w:numId w:val="2"/>
      </w:numPr>
      <w:contextualSpacing/>
    </w:pPr>
    <w:rPr>
      <w:rFonts w:ascii="Georgia" w:hAnsi="Georgia"/>
    </w:rPr>
  </w:style>
  <w:style w:type="paragraph" w:styleId="ListNumber">
    <w:name w:val="List Number"/>
    <w:basedOn w:val="BodyText"/>
    <w:uiPriority w:val="13"/>
    <w:unhideWhenUsed/>
    <w:qFormat/>
    <w:rsid w:val="00F42AB2"/>
    <w:pPr>
      <w:numPr>
        <w:numId w:val="3"/>
      </w:numPr>
    </w:pPr>
    <w:rPr>
      <w:rFonts w:ascii="Georgia" w:hAnsi="Georgia"/>
    </w:rPr>
  </w:style>
  <w:style w:type="paragraph" w:styleId="ListNumber2">
    <w:name w:val="List Number 2"/>
    <w:basedOn w:val="BodyText"/>
    <w:uiPriority w:val="13"/>
    <w:unhideWhenUsed/>
    <w:qFormat/>
    <w:rsid w:val="00F42AB2"/>
    <w:pPr>
      <w:numPr>
        <w:ilvl w:val="1"/>
        <w:numId w:val="3"/>
      </w:numPr>
    </w:pPr>
    <w:rPr>
      <w:rFonts w:ascii="Georgia" w:hAnsi="Georgia"/>
    </w:rPr>
  </w:style>
  <w:style w:type="paragraph" w:styleId="ListNumber3">
    <w:name w:val="List Number 3"/>
    <w:basedOn w:val="BodyText"/>
    <w:uiPriority w:val="13"/>
    <w:qFormat/>
    <w:rsid w:val="00F42AB2"/>
    <w:pPr>
      <w:numPr>
        <w:ilvl w:val="2"/>
        <w:numId w:val="3"/>
      </w:numPr>
      <w:spacing w:line="264" w:lineRule="auto"/>
    </w:pPr>
    <w:rPr>
      <w:rFonts w:ascii="Georgia" w:hAnsi="Georgia"/>
      <w:color w:val="000000" w:themeColor="text1"/>
      <w:szCs w:val="21"/>
    </w:rPr>
  </w:style>
  <w:style w:type="character" w:styleId="Hyperlink">
    <w:name w:val="Hyperlink"/>
    <w:basedOn w:val="DefaultParagraphFont"/>
    <w:uiPriority w:val="99"/>
    <w:unhideWhenUsed/>
    <w:rsid w:val="00C717C5"/>
    <w:rPr>
      <w:color w:val="0563C1" w:themeColor="hyperlink"/>
      <w:u w:val="single"/>
    </w:rPr>
  </w:style>
  <w:style w:type="table" w:customStyle="1" w:styleId="Casestudytable">
    <w:name w:val="Case study table"/>
    <w:basedOn w:val="TableNormal"/>
    <w:uiPriority w:val="99"/>
    <w:rsid w:val="003B2CD5"/>
    <w:pPr>
      <w:spacing w:before="40" w:after="40"/>
    </w:pPr>
    <w:rPr>
      <w:rFonts w:ascii="Arial" w:hAnsi="Arial"/>
      <w:sz w:val="18"/>
    </w:rPr>
    <w:tblPr/>
    <w:trPr>
      <w:cantSplit/>
      <w:tblHeader/>
    </w:trPr>
    <w:tcPr>
      <w:shd w:val="clear" w:color="auto" w:fill="F2F2F2" w:themeFill="background1" w:themeFillShade="F2"/>
    </w:tcPr>
    <w:tblStylePr w:type="firstRow">
      <w:pPr>
        <w:wordWrap/>
        <w:spacing w:beforeLines="40" w:beforeAutospacing="0" w:afterLines="40" w:afterAutospacing="0" w:line="240" w:lineRule="auto"/>
      </w:pPr>
      <w:tblPr/>
      <w:tcPr>
        <w:tcBorders>
          <w:bottom w:val="dashSmallGap" w:sz="4" w:space="0" w:color="2A3880" w:themeColor="text2"/>
        </w:tcBorders>
        <w:shd w:val="clear" w:color="auto" w:fill="F2F2F2" w:themeFill="background1" w:themeFillShade="F2"/>
      </w:tcPr>
    </w:tblStylePr>
    <w:tblStylePr w:type="neCell">
      <w:tblPr/>
      <w:tcPr>
        <w:shd w:val="clear" w:color="auto" w:fill="F2F2F2" w:themeFill="background1" w:themeFillShade="F2"/>
      </w:tcPr>
    </w:tblStylePr>
    <w:tblStylePr w:type="nwCell">
      <w:tblPr/>
      <w:tcPr>
        <w:tcBorders>
          <w:top w:val="single" w:sz="4" w:space="0" w:color="2A3880" w:themeColor="text2"/>
        </w:tcBorders>
        <w:shd w:val="clear" w:color="auto" w:fill="F2F2F2" w:themeFill="background1" w:themeFillShade="F2"/>
      </w:tcPr>
    </w:tblStylePr>
    <w:tblStylePr w:type="seCell">
      <w:tblPr/>
      <w:tcPr>
        <w:shd w:val="clear" w:color="auto" w:fill="F2F2F2" w:themeFill="background1" w:themeFillShade="F2"/>
      </w:tcPr>
    </w:tblStylePr>
    <w:tblStylePr w:type="swCell">
      <w:tblPr/>
      <w:tcPr>
        <w:shd w:val="clear" w:color="auto" w:fill="F2F2F2" w:themeFill="background1" w:themeFillShade="F2"/>
      </w:tcPr>
    </w:tblStylePr>
  </w:style>
  <w:style w:type="paragraph" w:customStyle="1" w:styleId="TableBullet2">
    <w:name w:val="Table Bullet 2"/>
    <w:basedOn w:val="Normal"/>
    <w:semiHidden/>
    <w:unhideWhenUsed/>
    <w:rsid w:val="0038168F"/>
    <w:pPr>
      <w:contextualSpacing/>
    </w:pPr>
    <w:rPr>
      <w:rFonts w:eastAsiaTheme="minorHAnsi" w:cstheme="minorBidi"/>
      <w:sz w:val="16"/>
      <w:szCs w:val="20"/>
    </w:rPr>
  </w:style>
  <w:style w:type="paragraph" w:customStyle="1" w:styleId="TableFigure2">
    <w:name w:val="Table Figure 2"/>
    <w:basedOn w:val="Normal"/>
    <w:semiHidden/>
    <w:unhideWhenUsed/>
    <w:rsid w:val="0038168F"/>
    <w:pPr>
      <w:spacing w:line="264" w:lineRule="auto"/>
      <w:contextualSpacing/>
      <w:jc w:val="right"/>
    </w:pPr>
    <w:rPr>
      <w:rFonts w:eastAsiaTheme="minorHAnsi" w:cstheme="minorBidi"/>
      <w:b/>
      <w:snapToGrid w:val="0"/>
      <w:sz w:val="16"/>
      <w:szCs w:val="20"/>
    </w:rPr>
  </w:style>
  <w:style w:type="table" w:styleId="TableGrid">
    <w:name w:val="Table Grid"/>
    <w:aliases w:val="Normal table"/>
    <w:basedOn w:val="TableNormal"/>
    <w:rsid w:val="004D50CE"/>
    <w:pPr>
      <w:spacing w:line="264" w:lineRule="auto"/>
    </w:pPr>
    <w:rPr>
      <w:rFonts w:ascii="Arial" w:hAnsi="Arial"/>
      <w:sz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total2">
    <w:name w:val="Table Subtotal 2"/>
    <w:basedOn w:val="Normal"/>
    <w:semiHidden/>
    <w:unhideWhenUsed/>
    <w:rsid w:val="0038168F"/>
    <w:pPr>
      <w:pBdr>
        <w:top w:val="single" w:sz="2" w:space="2" w:color="auto"/>
      </w:pBdr>
      <w:spacing w:line="264" w:lineRule="auto"/>
      <w:contextualSpacing/>
      <w:jc w:val="right"/>
    </w:pPr>
    <w:rPr>
      <w:rFonts w:eastAsiaTheme="minorHAnsi" w:cstheme="minorBidi"/>
      <w:b/>
      <w:snapToGrid w:val="0"/>
      <w:sz w:val="16"/>
      <w:szCs w:val="20"/>
    </w:rPr>
  </w:style>
  <w:style w:type="paragraph" w:customStyle="1" w:styleId="TableBody">
    <w:name w:val="TableBody"/>
    <w:basedOn w:val="BodyText"/>
    <w:rsid w:val="0038168F"/>
    <w:pPr>
      <w:numPr>
        <w:numId w:val="7"/>
      </w:numPr>
      <w:spacing w:before="40" w:after="40" w:line="240" w:lineRule="auto"/>
    </w:pPr>
    <w:rPr>
      <w:rFonts w:cstheme="minorBidi"/>
      <w:sz w:val="18"/>
    </w:rPr>
  </w:style>
  <w:style w:type="numbering" w:customStyle="1" w:styleId="TableBodyBullet">
    <w:name w:val="TableBodyBullet"/>
    <w:uiPriority w:val="99"/>
    <w:rsid w:val="00F42AB2"/>
    <w:pPr>
      <w:numPr>
        <w:numId w:val="4"/>
      </w:numPr>
    </w:pPr>
  </w:style>
  <w:style w:type="paragraph" w:customStyle="1" w:styleId="TableBodyColumnHeader">
    <w:name w:val="TableBodyColumnHeader"/>
    <w:basedOn w:val="TableBody"/>
    <w:uiPriority w:val="99"/>
    <w:qFormat/>
    <w:rsid w:val="00F42AB2"/>
    <w:rPr>
      <w:i/>
      <w:color w:val="2A3880" w:themeColor="text2"/>
    </w:rPr>
  </w:style>
  <w:style w:type="paragraph" w:customStyle="1" w:styleId="TableBodyListBullet">
    <w:name w:val="TableBodyListBullet"/>
    <w:basedOn w:val="TableBody"/>
    <w:rsid w:val="008A0B50"/>
    <w:pPr>
      <w:numPr>
        <w:numId w:val="5"/>
      </w:numPr>
      <w:spacing w:before="80" w:after="80"/>
      <w:ind w:left="284" w:hanging="284"/>
    </w:pPr>
    <w:rPr>
      <w:szCs w:val="17"/>
    </w:rPr>
  </w:style>
  <w:style w:type="paragraph" w:customStyle="1" w:styleId="TableBodyListBullet2">
    <w:name w:val="TableBodyListBullet2"/>
    <w:basedOn w:val="TableBody"/>
    <w:uiPriority w:val="99"/>
    <w:qFormat/>
    <w:rsid w:val="00F42AB2"/>
    <w:pPr>
      <w:numPr>
        <w:ilvl w:val="1"/>
        <w:numId w:val="5"/>
      </w:numPr>
      <w:contextualSpacing/>
    </w:pPr>
    <w:rPr>
      <w:szCs w:val="17"/>
    </w:rPr>
  </w:style>
  <w:style w:type="paragraph" w:customStyle="1" w:styleId="TableBodyListNumber">
    <w:name w:val="TableBodyListNumber"/>
    <w:basedOn w:val="TableBody"/>
    <w:rsid w:val="00F42AB2"/>
    <w:pPr>
      <w:numPr>
        <w:ilvl w:val="1"/>
      </w:numPr>
      <w:tabs>
        <w:tab w:val="left" w:pos="426"/>
      </w:tabs>
      <w:spacing w:after="60"/>
    </w:pPr>
  </w:style>
  <w:style w:type="paragraph" w:customStyle="1" w:styleId="TableBodyListNumber2">
    <w:name w:val="TableBodyListNumber2"/>
    <w:basedOn w:val="TableBodyListNumber"/>
    <w:rsid w:val="00F42AB2"/>
    <w:pPr>
      <w:numPr>
        <w:ilvl w:val="2"/>
      </w:numPr>
      <w:spacing w:after="120"/>
    </w:pPr>
  </w:style>
  <w:style w:type="paragraph" w:customStyle="1" w:styleId="TableBodyRowHeading">
    <w:name w:val="TableBodyRowHeading"/>
    <w:basedOn w:val="TableBody"/>
    <w:rsid w:val="00305100"/>
    <w:pPr>
      <w:numPr>
        <w:numId w:val="6"/>
      </w:numPr>
    </w:pPr>
    <w:rPr>
      <w:b/>
      <w:color w:val="2A3880" w:themeColor="text2"/>
      <w:lang w:eastAsia="en-GB"/>
    </w:rPr>
  </w:style>
  <w:style w:type="numbering" w:customStyle="1" w:styleId="TableListNumber">
    <w:name w:val="TableListNumber"/>
    <w:uiPriority w:val="99"/>
    <w:rsid w:val="00F42AB2"/>
    <w:pPr>
      <w:numPr>
        <w:numId w:val="7"/>
      </w:numPr>
    </w:pPr>
  </w:style>
  <w:style w:type="paragraph" w:styleId="TOC3">
    <w:name w:val="toc 3"/>
    <w:aliases w:val="Appendices"/>
    <w:basedOn w:val="Normal"/>
    <w:next w:val="Normal"/>
    <w:autoRedefine/>
    <w:uiPriority w:val="39"/>
    <w:rsid w:val="00C717C5"/>
    <w:pPr>
      <w:ind w:left="480"/>
    </w:pPr>
    <w:rPr>
      <w:sz w:val="20"/>
      <w:szCs w:val="20"/>
    </w:rPr>
  </w:style>
  <w:style w:type="paragraph" w:styleId="TOC1">
    <w:name w:val="toc 1"/>
    <w:aliases w:val="SectionHeading"/>
    <w:basedOn w:val="TOC3"/>
    <w:next w:val="Normal"/>
    <w:autoRedefine/>
    <w:uiPriority w:val="39"/>
    <w:rsid w:val="00CA7014"/>
    <w:pPr>
      <w:spacing w:before="120"/>
      <w:ind w:left="0"/>
    </w:pPr>
    <w:rPr>
      <w:b/>
      <w:bCs/>
      <w:sz w:val="24"/>
      <w:szCs w:val="24"/>
    </w:rPr>
  </w:style>
  <w:style w:type="paragraph" w:styleId="TOC2">
    <w:name w:val="toc 2"/>
    <w:aliases w:val="Heading1"/>
    <w:basedOn w:val="Normal"/>
    <w:next w:val="Normal"/>
    <w:autoRedefine/>
    <w:uiPriority w:val="39"/>
    <w:rsid w:val="00747373"/>
    <w:pPr>
      <w:spacing w:before="120"/>
      <w:ind w:left="240"/>
    </w:pPr>
    <w:rPr>
      <w:b/>
      <w:bCs/>
      <w:sz w:val="22"/>
      <w:szCs w:val="22"/>
    </w:rPr>
  </w:style>
  <w:style w:type="paragraph" w:styleId="TOC5">
    <w:name w:val="toc 5"/>
    <w:aliases w:val="Heading2"/>
    <w:basedOn w:val="Normal"/>
    <w:next w:val="Normal"/>
    <w:autoRedefine/>
    <w:uiPriority w:val="39"/>
    <w:rsid w:val="00F42AB2"/>
    <w:pPr>
      <w:ind w:left="960"/>
    </w:pPr>
    <w:rPr>
      <w:sz w:val="20"/>
      <w:szCs w:val="20"/>
    </w:rPr>
  </w:style>
  <w:style w:type="paragraph" w:styleId="TOC4">
    <w:name w:val="toc 4"/>
    <w:aliases w:val="Appendix1"/>
    <w:basedOn w:val="TOC5"/>
    <w:next w:val="Normal"/>
    <w:autoRedefine/>
    <w:uiPriority w:val="39"/>
    <w:rsid w:val="00F42AB2"/>
  </w:style>
  <w:style w:type="paragraph" w:styleId="TOC6">
    <w:name w:val="toc 6"/>
    <w:aliases w:val="Heading3"/>
    <w:basedOn w:val="Normal"/>
    <w:next w:val="Normal"/>
    <w:autoRedefine/>
    <w:uiPriority w:val="39"/>
    <w:rsid w:val="00F42AB2"/>
    <w:pPr>
      <w:ind w:left="1200"/>
    </w:pPr>
    <w:rPr>
      <w:sz w:val="20"/>
      <w:szCs w:val="20"/>
    </w:rPr>
  </w:style>
  <w:style w:type="paragraph" w:styleId="TOC7">
    <w:name w:val="toc 7"/>
    <w:basedOn w:val="Normal"/>
    <w:next w:val="Normal"/>
    <w:semiHidden/>
    <w:rsid w:val="00F42AB2"/>
    <w:pPr>
      <w:ind w:left="1440"/>
    </w:pPr>
    <w:rPr>
      <w:sz w:val="20"/>
      <w:szCs w:val="20"/>
    </w:rPr>
  </w:style>
  <w:style w:type="paragraph" w:styleId="TOC8">
    <w:name w:val="toc 8"/>
    <w:basedOn w:val="Normal"/>
    <w:next w:val="Normal"/>
    <w:semiHidden/>
    <w:rsid w:val="00F42AB2"/>
    <w:pPr>
      <w:ind w:left="1680"/>
    </w:pPr>
    <w:rPr>
      <w:sz w:val="20"/>
      <w:szCs w:val="20"/>
    </w:rPr>
  </w:style>
  <w:style w:type="paragraph" w:styleId="TOC9">
    <w:name w:val="toc 9"/>
    <w:basedOn w:val="Normal"/>
    <w:next w:val="Normal"/>
    <w:semiHidden/>
    <w:rsid w:val="00F42AB2"/>
    <w:pPr>
      <w:ind w:left="1920"/>
    </w:pPr>
    <w:rPr>
      <w:sz w:val="20"/>
      <w:szCs w:val="20"/>
    </w:rPr>
  </w:style>
  <w:style w:type="paragraph" w:styleId="TOCHeading">
    <w:name w:val="TOC Heading"/>
    <w:basedOn w:val="Heading1"/>
    <w:next w:val="BodyText"/>
    <w:uiPriority w:val="39"/>
    <w:unhideWhenUsed/>
    <w:qFormat/>
    <w:rsid w:val="00F42AB2"/>
    <w:pPr>
      <w:framePr w:wrap="around"/>
      <w:spacing w:before="480" w:after="0" w:line="276" w:lineRule="auto"/>
      <w:outlineLvl w:val="9"/>
    </w:pPr>
  </w:style>
  <w:style w:type="paragraph" w:customStyle="1" w:styleId="FrontCover-InformationTitles">
    <w:name w:val="Front Cover - Information Titles"/>
    <w:rsid w:val="00F42AB2"/>
    <w:pPr>
      <w:spacing w:before="80" w:after="80" w:line="240" w:lineRule="exact"/>
    </w:pPr>
    <w:rPr>
      <w:rFonts w:ascii="Arial" w:eastAsia="Arial Unicode MS" w:hAnsi="Arial" w:cs="Calibri"/>
      <w:b/>
      <w:sz w:val="24"/>
      <w:szCs w:val="24"/>
      <w:u w:color="A6A6A6"/>
      <w:bdr w:val="nil"/>
      <w:lang w:eastAsia="en-GB"/>
    </w:rPr>
  </w:style>
  <w:style w:type="paragraph" w:customStyle="1" w:styleId="FrontCover-InformationBodyText">
    <w:name w:val="Front Cover - Information Body Text"/>
    <w:rsid w:val="00F42AB2"/>
    <w:pPr>
      <w:spacing w:before="80" w:after="80" w:line="240" w:lineRule="exact"/>
    </w:pPr>
    <w:rPr>
      <w:rFonts w:ascii="Arial" w:eastAsia="Arial Unicode MS" w:hAnsi="Arial" w:cs="Calibri"/>
      <w:sz w:val="24"/>
      <w:szCs w:val="24"/>
      <w:u w:color="A6A6A6"/>
      <w:bdr w:val="nil"/>
      <w:lang w:eastAsia="en-GB"/>
    </w:rPr>
  </w:style>
  <w:style w:type="paragraph" w:styleId="FootnoteText">
    <w:name w:val="footnote text"/>
    <w:aliases w:val="fn,single space,footnote text,FOOTNOTES,Footnote,Footnote Text qer,Footnote Text Char1,Footnote Text Char Char,f,Footnote Text Char2 Char,Footnote Text Char1 Char Char,Footnote Text Char2 Char Char Char,ALTS FOOTNOTE,f Char Char, Char,WBR"/>
    <w:basedOn w:val="Normal"/>
    <w:link w:val="FootnoteTextChar"/>
    <w:qFormat/>
    <w:rsid w:val="0038168F"/>
    <w:rPr>
      <w:sz w:val="20"/>
      <w:szCs w:val="20"/>
    </w:rPr>
  </w:style>
  <w:style w:type="character" w:customStyle="1" w:styleId="FootnoteTextChar">
    <w:name w:val="Footnote Text Char"/>
    <w:aliases w:val="fn Char,single space Char,footnote text Char,FOOTNOTES Char,Footnote Char,Footnote Text qer Char,Footnote Text Char1 Char,Footnote Text Char Char Char,f Char,Footnote Text Char2 Char Char,Footnote Text Char1 Char Char Char, Char Char"/>
    <w:basedOn w:val="DefaultParagraphFont"/>
    <w:link w:val="FootnoteText"/>
    <w:rsid w:val="0038168F"/>
    <w:rPr>
      <w:rFonts w:asciiTheme="minorHAnsi" w:eastAsiaTheme="minorEastAsia" w:hAnsiTheme="minorHAnsi"/>
    </w:rPr>
  </w:style>
  <w:style w:type="character" w:styleId="FootnoteReference">
    <w:name w:val="footnote reference"/>
    <w:basedOn w:val="DefaultParagraphFont"/>
    <w:uiPriority w:val="99"/>
    <w:qFormat/>
    <w:rsid w:val="0038168F"/>
    <w:rPr>
      <w:vertAlign w:val="superscript"/>
    </w:rPr>
  </w:style>
  <w:style w:type="paragraph" w:customStyle="1" w:styleId="FootnoteText1">
    <w:name w:val="Footnote Text 1"/>
    <w:basedOn w:val="FootnoteText"/>
    <w:rsid w:val="0038168F"/>
    <w:rPr>
      <w:rFonts w:ascii="Arial" w:hAnsi="Arial"/>
      <w:sz w:val="16"/>
    </w:rPr>
  </w:style>
  <w:style w:type="paragraph" w:customStyle="1" w:styleId="StyleTableBodyRowHeadingNotBoldBefore48ptAfter48">
    <w:name w:val="Style TableBodyRowHeading + Not Bold Before:  4.8 pt After:  4.8 ..."/>
    <w:basedOn w:val="TableBodyRowHeading"/>
    <w:rsid w:val="002C0D48"/>
    <w:pPr>
      <w:spacing w:before="96" w:after="96"/>
    </w:pPr>
    <w:rPr>
      <w:rFonts w:eastAsia="Times New Roman" w:cs="Times New Roman"/>
      <w:b w:val="0"/>
    </w:rPr>
  </w:style>
  <w:style w:type="table" w:customStyle="1" w:styleId="Normaltablestyle">
    <w:name w:val="Normal table style"/>
    <w:basedOn w:val="TableNormal"/>
    <w:uiPriority w:val="99"/>
    <w:rsid w:val="002C0D48"/>
    <w:pPr>
      <w:spacing w:before="40" w:after="40"/>
    </w:pPr>
    <w:rPr>
      <w:rFonts w:ascii="Arial" w:hAnsi="Arial"/>
      <w:sz w:val="18"/>
    </w:rPr>
    <w:tblPr>
      <w:tblStyleRowBandSize w:val="1"/>
      <w:tblBorders>
        <w:bottom w:val="single" w:sz="4" w:space="0" w:color="2A3880" w:themeColor="text2"/>
      </w:tblBorders>
    </w:tblPr>
    <w:trPr>
      <w:cantSplit/>
    </w:trPr>
    <w:tblStylePr w:type="firstRow">
      <w:rPr>
        <w:rFonts w:ascii="Arial" w:hAnsi="Arial"/>
        <w:b/>
        <w:color w:val="2A3880" w:themeColor="text2"/>
        <w:sz w:val="18"/>
      </w:rPr>
      <w:tblPr/>
      <w:trPr>
        <w:cantSplit w:val="0"/>
        <w:tblHeader/>
      </w:trPr>
      <w:tcPr>
        <w:tcBorders>
          <w:top w:val="single" w:sz="4" w:space="0" w:color="2A3880" w:themeColor="text2"/>
          <w:bottom w:val="single" w:sz="4" w:space="0" w:color="2A3880" w:themeColor="text2"/>
        </w:tcBorders>
      </w:tcPr>
    </w:tblStylePr>
    <w:tblStylePr w:type="band1Horz">
      <w:tblPr/>
      <w:tcPr>
        <w:tcBorders>
          <w:bottom w:val="dashSmallGap" w:sz="4" w:space="0" w:color="2A3880" w:themeColor="text2"/>
        </w:tcBorders>
      </w:tcPr>
    </w:tblStylePr>
    <w:tblStylePr w:type="band2Horz">
      <w:tblPr/>
      <w:tcPr>
        <w:tcBorders>
          <w:bottom w:val="dashSmallGap" w:sz="4" w:space="0" w:color="2A3880" w:themeColor="text2"/>
        </w:tcBorders>
      </w:tcPr>
    </w:tblStylePr>
  </w:style>
  <w:style w:type="paragraph" w:customStyle="1" w:styleId="StyleTableBodyListBulletBefore48ptAfter48pt">
    <w:name w:val="Style TableBodyListBullet + Before:  4.8 pt After:  4.8 pt"/>
    <w:basedOn w:val="TableBodyListBullet"/>
    <w:rsid w:val="008A0B50"/>
    <w:pPr>
      <w:spacing w:before="96" w:after="96"/>
      <w:ind w:left="397" w:hanging="397"/>
    </w:pPr>
    <w:rPr>
      <w:rFonts w:eastAsia="Times New Roman" w:cs="Times New Roman"/>
      <w:szCs w:val="20"/>
    </w:rPr>
  </w:style>
  <w:style w:type="paragraph" w:customStyle="1" w:styleId="StyleTableBodyListBulletBefore48ptAfter48pt1">
    <w:name w:val="Style TableBodyListBullet + Before:  4.8 pt After:  4.8 pt1"/>
    <w:basedOn w:val="TableBodyListBullet"/>
    <w:rsid w:val="008A0B50"/>
    <w:pPr>
      <w:spacing w:before="96" w:after="96"/>
      <w:ind w:left="227" w:hanging="227"/>
    </w:pPr>
    <w:rPr>
      <w:rFonts w:eastAsia="Times New Roman" w:cs="Times New Roman"/>
      <w:szCs w:val="20"/>
    </w:rPr>
  </w:style>
  <w:style w:type="paragraph" w:styleId="BalloonText">
    <w:name w:val="Balloon Text"/>
    <w:basedOn w:val="Normal"/>
    <w:link w:val="BalloonTextChar"/>
    <w:uiPriority w:val="99"/>
    <w:rsid w:val="008632F2"/>
    <w:rPr>
      <w:rFonts w:ascii="Tahoma" w:hAnsi="Tahoma" w:cs="Tahoma"/>
      <w:sz w:val="16"/>
      <w:szCs w:val="16"/>
    </w:rPr>
  </w:style>
  <w:style w:type="character" w:customStyle="1" w:styleId="BalloonTextChar">
    <w:name w:val="Balloon Text Char"/>
    <w:basedOn w:val="DefaultParagraphFont"/>
    <w:link w:val="BalloonText"/>
    <w:uiPriority w:val="99"/>
    <w:rsid w:val="008632F2"/>
    <w:rPr>
      <w:rFonts w:ascii="Tahoma" w:eastAsiaTheme="minorEastAsia" w:hAnsi="Tahoma" w:cs="Tahoma"/>
      <w:sz w:val="16"/>
      <w:szCs w:val="16"/>
    </w:rPr>
  </w:style>
  <w:style w:type="numbering" w:customStyle="1" w:styleId="Sinlista1">
    <w:name w:val="Sin lista1"/>
    <w:next w:val="NoList"/>
    <w:uiPriority w:val="99"/>
    <w:semiHidden/>
    <w:unhideWhenUsed/>
    <w:rsid w:val="008632F2"/>
  </w:style>
  <w:style w:type="paragraph" w:styleId="ListParagraph">
    <w:name w:val="List Paragraph"/>
    <w:aliases w:val="Dot pt,F5 List Paragraph,List Paragraph1,No Spacing1,List Paragraph Char Char Char,Indicator Text,Numbered Para 1,Bullet 1,Bullet Points,MAIN CONTENT,List Paragraph12,OBC Bullet,List Paragraph11,Colorful List - Accent 11"/>
    <w:basedOn w:val="Normal"/>
    <w:link w:val="ListParagraphChar"/>
    <w:uiPriority w:val="34"/>
    <w:qFormat/>
    <w:rsid w:val="008632F2"/>
    <w:pPr>
      <w:spacing w:after="200" w:line="276" w:lineRule="auto"/>
      <w:ind w:left="720"/>
      <w:contextualSpacing/>
      <w:jc w:val="both"/>
    </w:pPr>
    <w:rPr>
      <w:rFonts w:ascii="Times New Roman" w:hAnsi="Times New Roman"/>
      <w:szCs w:val="22"/>
      <w:lang w:eastAsia="zh-CN"/>
    </w:rPr>
  </w:style>
  <w:style w:type="table" w:customStyle="1" w:styleId="Listaclara-nfasis11">
    <w:name w:val="Lista clara - Énfasis 11"/>
    <w:basedOn w:val="TableNormal"/>
    <w:uiPriority w:val="61"/>
    <w:rsid w:val="008632F2"/>
    <w:rPr>
      <w:rFonts w:eastAsia="SimSun"/>
      <w:sz w:val="22"/>
      <w:szCs w:val="22"/>
      <w:lang w:val="es-E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
    <w:name w:val="Lista clara - Énfasis 111"/>
    <w:basedOn w:val="TableNormal"/>
    <w:uiPriority w:val="61"/>
    <w:rsid w:val="008632F2"/>
    <w:rPr>
      <w:rFonts w:eastAsia="SimSun"/>
      <w:sz w:val="22"/>
      <w:szCs w:val="22"/>
      <w:lang w:val="es-E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
    <w:name w:val="Tabla con cuadrícula1"/>
    <w:basedOn w:val="TableNormal"/>
    <w:next w:val="TableGrid"/>
    <w:uiPriority w:val="59"/>
    <w:rsid w:val="008632F2"/>
    <w:rPr>
      <w:rFonts w:eastAsia="SimSun"/>
      <w:sz w:val="22"/>
      <w:szCs w:val="22"/>
      <w:lang w:val="es-E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8632F2"/>
    <w:rPr>
      <w:sz w:val="16"/>
      <w:szCs w:val="16"/>
    </w:rPr>
  </w:style>
  <w:style w:type="paragraph" w:styleId="CommentText">
    <w:name w:val="annotation text"/>
    <w:basedOn w:val="Normal"/>
    <w:link w:val="CommentTextChar"/>
    <w:uiPriority w:val="99"/>
    <w:unhideWhenUsed/>
    <w:rsid w:val="008632F2"/>
    <w:pPr>
      <w:spacing w:after="200"/>
      <w:jc w:val="both"/>
    </w:pPr>
    <w:rPr>
      <w:rFonts w:ascii="Times New Roman" w:hAnsi="Times New Roman"/>
      <w:sz w:val="20"/>
      <w:szCs w:val="20"/>
      <w:lang w:eastAsia="zh-CN"/>
    </w:rPr>
  </w:style>
  <w:style w:type="character" w:customStyle="1" w:styleId="CommentTextChar">
    <w:name w:val="Comment Text Char"/>
    <w:basedOn w:val="DefaultParagraphFont"/>
    <w:link w:val="CommentText"/>
    <w:uiPriority w:val="99"/>
    <w:rsid w:val="008632F2"/>
    <w:rPr>
      <w:rFonts w:eastAsiaTheme="minorEastAsia"/>
      <w:lang w:val="en-GB" w:eastAsia="zh-CN"/>
    </w:rPr>
  </w:style>
  <w:style w:type="paragraph" w:styleId="CommentSubject">
    <w:name w:val="annotation subject"/>
    <w:basedOn w:val="CommentText"/>
    <w:next w:val="CommentText"/>
    <w:link w:val="CommentSubjectChar"/>
    <w:uiPriority w:val="99"/>
    <w:unhideWhenUsed/>
    <w:rsid w:val="008632F2"/>
    <w:rPr>
      <w:b/>
      <w:bCs/>
    </w:rPr>
  </w:style>
  <w:style w:type="character" w:customStyle="1" w:styleId="CommentSubjectChar">
    <w:name w:val="Comment Subject Char"/>
    <w:basedOn w:val="CommentTextChar"/>
    <w:link w:val="CommentSubject"/>
    <w:uiPriority w:val="99"/>
    <w:rsid w:val="008632F2"/>
    <w:rPr>
      <w:rFonts w:eastAsiaTheme="minorEastAsia"/>
      <w:b/>
      <w:bCs/>
      <w:lang w:val="en-GB" w:eastAsia="zh-CN"/>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2 Char"/>
    <w:link w:val="ListParagraph"/>
    <w:uiPriority w:val="34"/>
    <w:qFormat/>
    <w:locked/>
    <w:rsid w:val="008632F2"/>
    <w:rPr>
      <w:rFonts w:eastAsiaTheme="minorEastAsia"/>
      <w:sz w:val="24"/>
      <w:szCs w:val="22"/>
      <w:lang w:val="en-GB" w:eastAsia="zh-CN"/>
    </w:rPr>
  </w:style>
  <w:style w:type="paragraph" w:styleId="NormalWeb">
    <w:name w:val="Normal (Web)"/>
    <w:basedOn w:val="Normal"/>
    <w:uiPriority w:val="99"/>
    <w:unhideWhenUsed/>
    <w:rsid w:val="00CA7014"/>
    <w:pPr>
      <w:spacing w:before="100" w:beforeAutospacing="1" w:after="100" w:afterAutospacing="1"/>
    </w:pPr>
    <w:rPr>
      <w:rFonts w:ascii="Times New Roman" w:hAnsi="Times New Roman"/>
      <w:lang w:eastAsia="en-GB"/>
    </w:rPr>
  </w:style>
  <w:style w:type="paragraph" w:styleId="Revision">
    <w:name w:val="Revision"/>
    <w:hidden/>
    <w:uiPriority w:val="99"/>
    <w:semiHidden/>
    <w:rsid w:val="0065619B"/>
    <w:rPr>
      <w:rFonts w:asciiTheme="minorHAnsi" w:eastAsiaTheme="minorEastAsia" w:hAnsiTheme="minorHAnsi"/>
      <w:sz w:val="24"/>
      <w:szCs w:val="24"/>
    </w:rPr>
  </w:style>
  <w:style w:type="character" w:customStyle="1" w:styleId="Mentionnonrsolue1">
    <w:name w:val="Mention non résolue1"/>
    <w:basedOn w:val="DefaultParagraphFont"/>
    <w:uiPriority w:val="99"/>
    <w:semiHidden/>
    <w:unhideWhenUsed/>
    <w:rsid w:val="006A547C"/>
    <w:rPr>
      <w:color w:val="808080"/>
      <w:shd w:val="clear" w:color="auto" w:fill="E6E6E6"/>
    </w:rPr>
  </w:style>
  <w:style w:type="character" w:styleId="FollowedHyperlink">
    <w:name w:val="FollowedHyperlink"/>
    <w:basedOn w:val="DefaultParagraphFont"/>
    <w:uiPriority w:val="99"/>
    <w:semiHidden/>
    <w:unhideWhenUsed/>
    <w:rsid w:val="00A15F9C"/>
    <w:rPr>
      <w:color w:val="954F72" w:themeColor="followedHyperlink"/>
      <w:u w:val="single"/>
    </w:rPr>
  </w:style>
  <w:style w:type="character" w:customStyle="1" w:styleId="UnresolvedMention">
    <w:name w:val="Unresolved Mention"/>
    <w:basedOn w:val="DefaultParagraphFont"/>
    <w:uiPriority w:val="99"/>
    <w:semiHidden/>
    <w:unhideWhenUsed/>
    <w:rsid w:val="009311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6518">
      <w:bodyDiv w:val="1"/>
      <w:marLeft w:val="0"/>
      <w:marRight w:val="0"/>
      <w:marTop w:val="0"/>
      <w:marBottom w:val="0"/>
      <w:divBdr>
        <w:top w:val="none" w:sz="0" w:space="0" w:color="auto"/>
        <w:left w:val="none" w:sz="0" w:space="0" w:color="auto"/>
        <w:bottom w:val="none" w:sz="0" w:space="0" w:color="auto"/>
        <w:right w:val="none" w:sz="0" w:space="0" w:color="auto"/>
      </w:divBdr>
    </w:div>
    <w:div w:id="198930555">
      <w:bodyDiv w:val="1"/>
      <w:marLeft w:val="0"/>
      <w:marRight w:val="0"/>
      <w:marTop w:val="0"/>
      <w:marBottom w:val="0"/>
      <w:divBdr>
        <w:top w:val="none" w:sz="0" w:space="0" w:color="auto"/>
        <w:left w:val="none" w:sz="0" w:space="0" w:color="auto"/>
        <w:bottom w:val="none" w:sz="0" w:space="0" w:color="auto"/>
        <w:right w:val="none" w:sz="0" w:space="0" w:color="auto"/>
      </w:divBdr>
    </w:div>
    <w:div w:id="267080401">
      <w:bodyDiv w:val="1"/>
      <w:marLeft w:val="0"/>
      <w:marRight w:val="0"/>
      <w:marTop w:val="0"/>
      <w:marBottom w:val="0"/>
      <w:divBdr>
        <w:top w:val="none" w:sz="0" w:space="0" w:color="auto"/>
        <w:left w:val="none" w:sz="0" w:space="0" w:color="auto"/>
        <w:bottom w:val="none" w:sz="0" w:space="0" w:color="auto"/>
        <w:right w:val="none" w:sz="0" w:space="0" w:color="auto"/>
      </w:divBdr>
    </w:div>
    <w:div w:id="288443183">
      <w:bodyDiv w:val="1"/>
      <w:marLeft w:val="0"/>
      <w:marRight w:val="0"/>
      <w:marTop w:val="0"/>
      <w:marBottom w:val="0"/>
      <w:divBdr>
        <w:top w:val="none" w:sz="0" w:space="0" w:color="auto"/>
        <w:left w:val="none" w:sz="0" w:space="0" w:color="auto"/>
        <w:bottom w:val="none" w:sz="0" w:space="0" w:color="auto"/>
        <w:right w:val="none" w:sz="0" w:space="0" w:color="auto"/>
      </w:divBdr>
    </w:div>
    <w:div w:id="605967617">
      <w:bodyDiv w:val="1"/>
      <w:marLeft w:val="0"/>
      <w:marRight w:val="0"/>
      <w:marTop w:val="0"/>
      <w:marBottom w:val="0"/>
      <w:divBdr>
        <w:top w:val="none" w:sz="0" w:space="0" w:color="auto"/>
        <w:left w:val="none" w:sz="0" w:space="0" w:color="auto"/>
        <w:bottom w:val="none" w:sz="0" w:space="0" w:color="auto"/>
        <w:right w:val="none" w:sz="0" w:space="0" w:color="auto"/>
      </w:divBdr>
    </w:div>
    <w:div w:id="694884957">
      <w:bodyDiv w:val="1"/>
      <w:marLeft w:val="0"/>
      <w:marRight w:val="0"/>
      <w:marTop w:val="0"/>
      <w:marBottom w:val="0"/>
      <w:divBdr>
        <w:top w:val="none" w:sz="0" w:space="0" w:color="auto"/>
        <w:left w:val="none" w:sz="0" w:space="0" w:color="auto"/>
        <w:bottom w:val="none" w:sz="0" w:space="0" w:color="auto"/>
        <w:right w:val="none" w:sz="0" w:space="0" w:color="auto"/>
      </w:divBdr>
    </w:div>
    <w:div w:id="700056891">
      <w:bodyDiv w:val="1"/>
      <w:marLeft w:val="0"/>
      <w:marRight w:val="0"/>
      <w:marTop w:val="0"/>
      <w:marBottom w:val="0"/>
      <w:divBdr>
        <w:top w:val="none" w:sz="0" w:space="0" w:color="auto"/>
        <w:left w:val="none" w:sz="0" w:space="0" w:color="auto"/>
        <w:bottom w:val="none" w:sz="0" w:space="0" w:color="auto"/>
        <w:right w:val="none" w:sz="0" w:space="0" w:color="auto"/>
      </w:divBdr>
      <w:divsChild>
        <w:div w:id="583029323">
          <w:marLeft w:val="0"/>
          <w:marRight w:val="0"/>
          <w:marTop w:val="0"/>
          <w:marBottom w:val="0"/>
          <w:divBdr>
            <w:top w:val="none" w:sz="0" w:space="0" w:color="auto"/>
            <w:left w:val="none" w:sz="0" w:space="0" w:color="auto"/>
            <w:bottom w:val="none" w:sz="0" w:space="0" w:color="auto"/>
            <w:right w:val="none" w:sz="0" w:space="0" w:color="auto"/>
          </w:divBdr>
        </w:div>
        <w:div w:id="408118966">
          <w:marLeft w:val="0"/>
          <w:marRight w:val="0"/>
          <w:marTop w:val="0"/>
          <w:marBottom w:val="0"/>
          <w:divBdr>
            <w:top w:val="none" w:sz="0" w:space="0" w:color="auto"/>
            <w:left w:val="none" w:sz="0" w:space="0" w:color="auto"/>
            <w:bottom w:val="none" w:sz="0" w:space="0" w:color="auto"/>
            <w:right w:val="none" w:sz="0" w:space="0" w:color="auto"/>
          </w:divBdr>
        </w:div>
        <w:div w:id="1933472964">
          <w:marLeft w:val="0"/>
          <w:marRight w:val="0"/>
          <w:marTop w:val="0"/>
          <w:marBottom w:val="0"/>
          <w:divBdr>
            <w:top w:val="none" w:sz="0" w:space="0" w:color="auto"/>
            <w:left w:val="none" w:sz="0" w:space="0" w:color="auto"/>
            <w:bottom w:val="none" w:sz="0" w:space="0" w:color="auto"/>
            <w:right w:val="none" w:sz="0" w:space="0" w:color="auto"/>
          </w:divBdr>
        </w:div>
        <w:div w:id="846559017">
          <w:marLeft w:val="0"/>
          <w:marRight w:val="0"/>
          <w:marTop w:val="0"/>
          <w:marBottom w:val="0"/>
          <w:divBdr>
            <w:top w:val="none" w:sz="0" w:space="0" w:color="auto"/>
            <w:left w:val="none" w:sz="0" w:space="0" w:color="auto"/>
            <w:bottom w:val="none" w:sz="0" w:space="0" w:color="auto"/>
            <w:right w:val="none" w:sz="0" w:space="0" w:color="auto"/>
          </w:divBdr>
        </w:div>
        <w:div w:id="490145842">
          <w:marLeft w:val="0"/>
          <w:marRight w:val="0"/>
          <w:marTop w:val="0"/>
          <w:marBottom w:val="0"/>
          <w:divBdr>
            <w:top w:val="none" w:sz="0" w:space="0" w:color="auto"/>
            <w:left w:val="none" w:sz="0" w:space="0" w:color="auto"/>
            <w:bottom w:val="none" w:sz="0" w:space="0" w:color="auto"/>
            <w:right w:val="none" w:sz="0" w:space="0" w:color="auto"/>
          </w:divBdr>
        </w:div>
        <w:div w:id="2080596473">
          <w:marLeft w:val="0"/>
          <w:marRight w:val="0"/>
          <w:marTop w:val="0"/>
          <w:marBottom w:val="0"/>
          <w:divBdr>
            <w:top w:val="none" w:sz="0" w:space="0" w:color="auto"/>
            <w:left w:val="none" w:sz="0" w:space="0" w:color="auto"/>
            <w:bottom w:val="none" w:sz="0" w:space="0" w:color="auto"/>
            <w:right w:val="none" w:sz="0" w:space="0" w:color="auto"/>
          </w:divBdr>
        </w:div>
      </w:divsChild>
    </w:div>
    <w:div w:id="816579797">
      <w:bodyDiv w:val="1"/>
      <w:marLeft w:val="0"/>
      <w:marRight w:val="0"/>
      <w:marTop w:val="0"/>
      <w:marBottom w:val="0"/>
      <w:divBdr>
        <w:top w:val="none" w:sz="0" w:space="0" w:color="auto"/>
        <w:left w:val="none" w:sz="0" w:space="0" w:color="auto"/>
        <w:bottom w:val="none" w:sz="0" w:space="0" w:color="auto"/>
        <w:right w:val="none" w:sz="0" w:space="0" w:color="auto"/>
      </w:divBdr>
      <w:divsChild>
        <w:div w:id="492112568">
          <w:marLeft w:val="0"/>
          <w:marRight w:val="0"/>
          <w:marTop w:val="0"/>
          <w:marBottom w:val="0"/>
          <w:divBdr>
            <w:top w:val="none" w:sz="0" w:space="0" w:color="auto"/>
            <w:left w:val="none" w:sz="0" w:space="0" w:color="auto"/>
            <w:bottom w:val="none" w:sz="0" w:space="0" w:color="auto"/>
            <w:right w:val="none" w:sz="0" w:space="0" w:color="auto"/>
          </w:divBdr>
        </w:div>
        <w:div w:id="1190799557">
          <w:marLeft w:val="0"/>
          <w:marRight w:val="0"/>
          <w:marTop w:val="0"/>
          <w:marBottom w:val="0"/>
          <w:divBdr>
            <w:top w:val="none" w:sz="0" w:space="0" w:color="auto"/>
            <w:left w:val="none" w:sz="0" w:space="0" w:color="auto"/>
            <w:bottom w:val="none" w:sz="0" w:space="0" w:color="auto"/>
            <w:right w:val="none" w:sz="0" w:space="0" w:color="auto"/>
          </w:divBdr>
        </w:div>
        <w:div w:id="420877471">
          <w:marLeft w:val="0"/>
          <w:marRight w:val="0"/>
          <w:marTop w:val="0"/>
          <w:marBottom w:val="0"/>
          <w:divBdr>
            <w:top w:val="none" w:sz="0" w:space="0" w:color="auto"/>
            <w:left w:val="none" w:sz="0" w:space="0" w:color="auto"/>
            <w:bottom w:val="none" w:sz="0" w:space="0" w:color="auto"/>
            <w:right w:val="none" w:sz="0" w:space="0" w:color="auto"/>
          </w:divBdr>
        </w:div>
        <w:div w:id="330909371">
          <w:marLeft w:val="0"/>
          <w:marRight w:val="0"/>
          <w:marTop w:val="0"/>
          <w:marBottom w:val="0"/>
          <w:divBdr>
            <w:top w:val="none" w:sz="0" w:space="0" w:color="auto"/>
            <w:left w:val="none" w:sz="0" w:space="0" w:color="auto"/>
            <w:bottom w:val="none" w:sz="0" w:space="0" w:color="auto"/>
            <w:right w:val="none" w:sz="0" w:space="0" w:color="auto"/>
          </w:divBdr>
        </w:div>
        <w:div w:id="359748685">
          <w:marLeft w:val="0"/>
          <w:marRight w:val="0"/>
          <w:marTop w:val="0"/>
          <w:marBottom w:val="0"/>
          <w:divBdr>
            <w:top w:val="none" w:sz="0" w:space="0" w:color="auto"/>
            <w:left w:val="none" w:sz="0" w:space="0" w:color="auto"/>
            <w:bottom w:val="none" w:sz="0" w:space="0" w:color="auto"/>
            <w:right w:val="none" w:sz="0" w:space="0" w:color="auto"/>
          </w:divBdr>
        </w:div>
        <w:div w:id="890307824">
          <w:marLeft w:val="0"/>
          <w:marRight w:val="0"/>
          <w:marTop w:val="0"/>
          <w:marBottom w:val="0"/>
          <w:divBdr>
            <w:top w:val="none" w:sz="0" w:space="0" w:color="auto"/>
            <w:left w:val="none" w:sz="0" w:space="0" w:color="auto"/>
            <w:bottom w:val="none" w:sz="0" w:space="0" w:color="auto"/>
            <w:right w:val="none" w:sz="0" w:space="0" w:color="auto"/>
          </w:divBdr>
        </w:div>
        <w:div w:id="1899852356">
          <w:marLeft w:val="0"/>
          <w:marRight w:val="0"/>
          <w:marTop w:val="0"/>
          <w:marBottom w:val="0"/>
          <w:divBdr>
            <w:top w:val="none" w:sz="0" w:space="0" w:color="auto"/>
            <w:left w:val="none" w:sz="0" w:space="0" w:color="auto"/>
            <w:bottom w:val="none" w:sz="0" w:space="0" w:color="auto"/>
            <w:right w:val="none" w:sz="0" w:space="0" w:color="auto"/>
          </w:divBdr>
        </w:div>
        <w:div w:id="886725242">
          <w:marLeft w:val="0"/>
          <w:marRight w:val="0"/>
          <w:marTop w:val="0"/>
          <w:marBottom w:val="0"/>
          <w:divBdr>
            <w:top w:val="none" w:sz="0" w:space="0" w:color="auto"/>
            <w:left w:val="none" w:sz="0" w:space="0" w:color="auto"/>
            <w:bottom w:val="none" w:sz="0" w:space="0" w:color="auto"/>
            <w:right w:val="none" w:sz="0" w:space="0" w:color="auto"/>
          </w:divBdr>
        </w:div>
        <w:div w:id="293020665">
          <w:marLeft w:val="0"/>
          <w:marRight w:val="0"/>
          <w:marTop w:val="0"/>
          <w:marBottom w:val="0"/>
          <w:divBdr>
            <w:top w:val="none" w:sz="0" w:space="0" w:color="auto"/>
            <w:left w:val="none" w:sz="0" w:space="0" w:color="auto"/>
            <w:bottom w:val="none" w:sz="0" w:space="0" w:color="auto"/>
            <w:right w:val="none" w:sz="0" w:space="0" w:color="auto"/>
          </w:divBdr>
        </w:div>
        <w:div w:id="696155001">
          <w:marLeft w:val="0"/>
          <w:marRight w:val="0"/>
          <w:marTop w:val="0"/>
          <w:marBottom w:val="0"/>
          <w:divBdr>
            <w:top w:val="none" w:sz="0" w:space="0" w:color="auto"/>
            <w:left w:val="none" w:sz="0" w:space="0" w:color="auto"/>
            <w:bottom w:val="none" w:sz="0" w:space="0" w:color="auto"/>
            <w:right w:val="none" w:sz="0" w:space="0" w:color="auto"/>
          </w:divBdr>
        </w:div>
        <w:div w:id="1814757651">
          <w:marLeft w:val="0"/>
          <w:marRight w:val="0"/>
          <w:marTop w:val="0"/>
          <w:marBottom w:val="0"/>
          <w:divBdr>
            <w:top w:val="none" w:sz="0" w:space="0" w:color="auto"/>
            <w:left w:val="none" w:sz="0" w:space="0" w:color="auto"/>
            <w:bottom w:val="none" w:sz="0" w:space="0" w:color="auto"/>
            <w:right w:val="none" w:sz="0" w:space="0" w:color="auto"/>
          </w:divBdr>
        </w:div>
        <w:div w:id="1155103405">
          <w:marLeft w:val="0"/>
          <w:marRight w:val="0"/>
          <w:marTop w:val="0"/>
          <w:marBottom w:val="0"/>
          <w:divBdr>
            <w:top w:val="none" w:sz="0" w:space="0" w:color="auto"/>
            <w:left w:val="none" w:sz="0" w:space="0" w:color="auto"/>
            <w:bottom w:val="none" w:sz="0" w:space="0" w:color="auto"/>
            <w:right w:val="none" w:sz="0" w:space="0" w:color="auto"/>
          </w:divBdr>
        </w:div>
        <w:div w:id="1976058249">
          <w:marLeft w:val="0"/>
          <w:marRight w:val="0"/>
          <w:marTop w:val="0"/>
          <w:marBottom w:val="0"/>
          <w:divBdr>
            <w:top w:val="none" w:sz="0" w:space="0" w:color="auto"/>
            <w:left w:val="none" w:sz="0" w:space="0" w:color="auto"/>
            <w:bottom w:val="none" w:sz="0" w:space="0" w:color="auto"/>
            <w:right w:val="none" w:sz="0" w:space="0" w:color="auto"/>
          </w:divBdr>
        </w:div>
        <w:div w:id="1113793436">
          <w:marLeft w:val="0"/>
          <w:marRight w:val="0"/>
          <w:marTop w:val="0"/>
          <w:marBottom w:val="0"/>
          <w:divBdr>
            <w:top w:val="none" w:sz="0" w:space="0" w:color="auto"/>
            <w:left w:val="none" w:sz="0" w:space="0" w:color="auto"/>
            <w:bottom w:val="none" w:sz="0" w:space="0" w:color="auto"/>
            <w:right w:val="none" w:sz="0" w:space="0" w:color="auto"/>
          </w:divBdr>
        </w:div>
        <w:div w:id="907421255">
          <w:marLeft w:val="0"/>
          <w:marRight w:val="0"/>
          <w:marTop w:val="0"/>
          <w:marBottom w:val="0"/>
          <w:divBdr>
            <w:top w:val="none" w:sz="0" w:space="0" w:color="auto"/>
            <w:left w:val="none" w:sz="0" w:space="0" w:color="auto"/>
            <w:bottom w:val="none" w:sz="0" w:space="0" w:color="auto"/>
            <w:right w:val="none" w:sz="0" w:space="0" w:color="auto"/>
          </w:divBdr>
        </w:div>
        <w:div w:id="77560174">
          <w:marLeft w:val="0"/>
          <w:marRight w:val="0"/>
          <w:marTop w:val="0"/>
          <w:marBottom w:val="0"/>
          <w:divBdr>
            <w:top w:val="none" w:sz="0" w:space="0" w:color="auto"/>
            <w:left w:val="none" w:sz="0" w:space="0" w:color="auto"/>
            <w:bottom w:val="none" w:sz="0" w:space="0" w:color="auto"/>
            <w:right w:val="none" w:sz="0" w:space="0" w:color="auto"/>
          </w:divBdr>
        </w:div>
        <w:div w:id="404496214">
          <w:marLeft w:val="0"/>
          <w:marRight w:val="0"/>
          <w:marTop w:val="0"/>
          <w:marBottom w:val="0"/>
          <w:divBdr>
            <w:top w:val="none" w:sz="0" w:space="0" w:color="auto"/>
            <w:left w:val="none" w:sz="0" w:space="0" w:color="auto"/>
            <w:bottom w:val="none" w:sz="0" w:space="0" w:color="auto"/>
            <w:right w:val="none" w:sz="0" w:space="0" w:color="auto"/>
          </w:divBdr>
        </w:div>
        <w:div w:id="632633416">
          <w:marLeft w:val="0"/>
          <w:marRight w:val="0"/>
          <w:marTop w:val="0"/>
          <w:marBottom w:val="0"/>
          <w:divBdr>
            <w:top w:val="none" w:sz="0" w:space="0" w:color="auto"/>
            <w:left w:val="none" w:sz="0" w:space="0" w:color="auto"/>
            <w:bottom w:val="none" w:sz="0" w:space="0" w:color="auto"/>
            <w:right w:val="none" w:sz="0" w:space="0" w:color="auto"/>
          </w:divBdr>
        </w:div>
        <w:div w:id="1287741423">
          <w:marLeft w:val="0"/>
          <w:marRight w:val="0"/>
          <w:marTop w:val="0"/>
          <w:marBottom w:val="0"/>
          <w:divBdr>
            <w:top w:val="none" w:sz="0" w:space="0" w:color="auto"/>
            <w:left w:val="none" w:sz="0" w:space="0" w:color="auto"/>
            <w:bottom w:val="none" w:sz="0" w:space="0" w:color="auto"/>
            <w:right w:val="none" w:sz="0" w:space="0" w:color="auto"/>
          </w:divBdr>
        </w:div>
        <w:div w:id="61758709">
          <w:marLeft w:val="0"/>
          <w:marRight w:val="0"/>
          <w:marTop w:val="0"/>
          <w:marBottom w:val="0"/>
          <w:divBdr>
            <w:top w:val="none" w:sz="0" w:space="0" w:color="auto"/>
            <w:left w:val="none" w:sz="0" w:space="0" w:color="auto"/>
            <w:bottom w:val="none" w:sz="0" w:space="0" w:color="auto"/>
            <w:right w:val="none" w:sz="0" w:space="0" w:color="auto"/>
          </w:divBdr>
        </w:div>
        <w:div w:id="893545223">
          <w:marLeft w:val="0"/>
          <w:marRight w:val="0"/>
          <w:marTop w:val="0"/>
          <w:marBottom w:val="0"/>
          <w:divBdr>
            <w:top w:val="none" w:sz="0" w:space="0" w:color="auto"/>
            <w:left w:val="none" w:sz="0" w:space="0" w:color="auto"/>
            <w:bottom w:val="none" w:sz="0" w:space="0" w:color="auto"/>
            <w:right w:val="none" w:sz="0" w:space="0" w:color="auto"/>
          </w:divBdr>
        </w:div>
        <w:div w:id="268120652">
          <w:marLeft w:val="0"/>
          <w:marRight w:val="0"/>
          <w:marTop w:val="0"/>
          <w:marBottom w:val="0"/>
          <w:divBdr>
            <w:top w:val="none" w:sz="0" w:space="0" w:color="auto"/>
            <w:left w:val="none" w:sz="0" w:space="0" w:color="auto"/>
            <w:bottom w:val="none" w:sz="0" w:space="0" w:color="auto"/>
            <w:right w:val="none" w:sz="0" w:space="0" w:color="auto"/>
          </w:divBdr>
        </w:div>
        <w:div w:id="748625415">
          <w:marLeft w:val="0"/>
          <w:marRight w:val="0"/>
          <w:marTop w:val="0"/>
          <w:marBottom w:val="0"/>
          <w:divBdr>
            <w:top w:val="none" w:sz="0" w:space="0" w:color="auto"/>
            <w:left w:val="none" w:sz="0" w:space="0" w:color="auto"/>
            <w:bottom w:val="none" w:sz="0" w:space="0" w:color="auto"/>
            <w:right w:val="none" w:sz="0" w:space="0" w:color="auto"/>
          </w:divBdr>
        </w:div>
        <w:div w:id="1908569994">
          <w:marLeft w:val="0"/>
          <w:marRight w:val="0"/>
          <w:marTop w:val="0"/>
          <w:marBottom w:val="0"/>
          <w:divBdr>
            <w:top w:val="none" w:sz="0" w:space="0" w:color="auto"/>
            <w:left w:val="none" w:sz="0" w:space="0" w:color="auto"/>
            <w:bottom w:val="none" w:sz="0" w:space="0" w:color="auto"/>
            <w:right w:val="none" w:sz="0" w:space="0" w:color="auto"/>
          </w:divBdr>
        </w:div>
        <w:div w:id="189539061">
          <w:marLeft w:val="0"/>
          <w:marRight w:val="0"/>
          <w:marTop w:val="0"/>
          <w:marBottom w:val="0"/>
          <w:divBdr>
            <w:top w:val="none" w:sz="0" w:space="0" w:color="auto"/>
            <w:left w:val="none" w:sz="0" w:space="0" w:color="auto"/>
            <w:bottom w:val="none" w:sz="0" w:space="0" w:color="auto"/>
            <w:right w:val="none" w:sz="0" w:space="0" w:color="auto"/>
          </w:divBdr>
        </w:div>
        <w:div w:id="351496678">
          <w:marLeft w:val="0"/>
          <w:marRight w:val="0"/>
          <w:marTop w:val="0"/>
          <w:marBottom w:val="0"/>
          <w:divBdr>
            <w:top w:val="none" w:sz="0" w:space="0" w:color="auto"/>
            <w:left w:val="none" w:sz="0" w:space="0" w:color="auto"/>
            <w:bottom w:val="none" w:sz="0" w:space="0" w:color="auto"/>
            <w:right w:val="none" w:sz="0" w:space="0" w:color="auto"/>
          </w:divBdr>
        </w:div>
        <w:div w:id="955256533">
          <w:marLeft w:val="0"/>
          <w:marRight w:val="0"/>
          <w:marTop w:val="0"/>
          <w:marBottom w:val="0"/>
          <w:divBdr>
            <w:top w:val="none" w:sz="0" w:space="0" w:color="auto"/>
            <w:left w:val="none" w:sz="0" w:space="0" w:color="auto"/>
            <w:bottom w:val="none" w:sz="0" w:space="0" w:color="auto"/>
            <w:right w:val="none" w:sz="0" w:space="0" w:color="auto"/>
          </w:divBdr>
        </w:div>
        <w:div w:id="333531165">
          <w:marLeft w:val="0"/>
          <w:marRight w:val="0"/>
          <w:marTop w:val="0"/>
          <w:marBottom w:val="0"/>
          <w:divBdr>
            <w:top w:val="none" w:sz="0" w:space="0" w:color="auto"/>
            <w:left w:val="none" w:sz="0" w:space="0" w:color="auto"/>
            <w:bottom w:val="none" w:sz="0" w:space="0" w:color="auto"/>
            <w:right w:val="none" w:sz="0" w:space="0" w:color="auto"/>
          </w:divBdr>
        </w:div>
        <w:div w:id="653996391">
          <w:marLeft w:val="0"/>
          <w:marRight w:val="0"/>
          <w:marTop w:val="0"/>
          <w:marBottom w:val="0"/>
          <w:divBdr>
            <w:top w:val="none" w:sz="0" w:space="0" w:color="auto"/>
            <w:left w:val="none" w:sz="0" w:space="0" w:color="auto"/>
            <w:bottom w:val="none" w:sz="0" w:space="0" w:color="auto"/>
            <w:right w:val="none" w:sz="0" w:space="0" w:color="auto"/>
          </w:divBdr>
        </w:div>
        <w:div w:id="1349942914">
          <w:marLeft w:val="0"/>
          <w:marRight w:val="0"/>
          <w:marTop w:val="0"/>
          <w:marBottom w:val="0"/>
          <w:divBdr>
            <w:top w:val="none" w:sz="0" w:space="0" w:color="auto"/>
            <w:left w:val="none" w:sz="0" w:space="0" w:color="auto"/>
            <w:bottom w:val="none" w:sz="0" w:space="0" w:color="auto"/>
            <w:right w:val="none" w:sz="0" w:space="0" w:color="auto"/>
          </w:divBdr>
        </w:div>
        <w:div w:id="1565675787">
          <w:marLeft w:val="0"/>
          <w:marRight w:val="0"/>
          <w:marTop w:val="0"/>
          <w:marBottom w:val="0"/>
          <w:divBdr>
            <w:top w:val="none" w:sz="0" w:space="0" w:color="auto"/>
            <w:left w:val="none" w:sz="0" w:space="0" w:color="auto"/>
            <w:bottom w:val="none" w:sz="0" w:space="0" w:color="auto"/>
            <w:right w:val="none" w:sz="0" w:space="0" w:color="auto"/>
          </w:divBdr>
        </w:div>
        <w:div w:id="1134955210">
          <w:marLeft w:val="0"/>
          <w:marRight w:val="0"/>
          <w:marTop w:val="0"/>
          <w:marBottom w:val="0"/>
          <w:divBdr>
            <w:top w:val="none" w:sz="0" w:space="0" w:color="auto"/>
            <w:left w:val="none" w:sz="0" w:space="0" w:color="auto"/>
            <w:bottom w:val="none" w:sz="0" w:space="0" w:color="auto"/>
            <w:right w:val="none" w:sz="0" w:space="0" w:color="auto"/>
          </w:divBdr>
        </w:div>
        <w:div w:id="1830944981">
          <w:marLeft w:val="0"/>
          <w:marRight w:val="0"/>
          <w:marTop w:val="0"/>
          <w:marBottom w:val="0"/>
          <w:divBdr>
            <w:top w:val="none" w:sz="0" w:space="0" w:color="auto"/>
            <w:left w:val="none" w:sz="0" w:space="0" w:color="auto"/>
            <w:bottom w:val="none" w:sz="0" w:space="0" w:color="auto"/>
            <w:right w:val="none" w:sz="0" w:space="0" w:color="auto"/>
          </w:divBdr>
        </w:div>
        <w:div w:id="95947721">
          <w:marLeft w:val="0"/>
          <w:marRight w:val="0"/>
          <w:marTop w:val="0"/>
          <w:marBottom w:val="0"/>
          <w:divBdr>
            <w:top w:val="none" w:sz="0" w:space="0" w:color="auto"/>
            <w:left w:val="none" w:sz="0" w:space="0" w:color="auto"/>
            <w:bottom w:val="none" w:sz="0" w:space="0" w:color="auto"/>
            <w:right w:val="none" w:sz="0" w:space="0" w:color="auto"/>
          </w:divBdr>
        </w:div>
        <w:div w:id="741292108">
          <w:marLeft w:val="0"/>
          <w:marRight w:val="0"/>
          <w:marTop w:val="0"/>
          <w:marBottom w:val="0"/>
          <w:divBdr>
            <w:top w:val="none" w:sz="0" w:space="0" w:color="auto"/>
            <w:left w:val="none" w:sz="0" w:space="0" w:color="auto"/>
            <w:bottom w:val="none" w:sz="0" w:space="0" w:color="auto"/>
            <w:right w:val="none" w:sz="0" w:space="0" w:color="auto"/>
          </w:divBdr>
        </w:div>
        <w:div w:id="1490365283">
          <w:marLeft w:val="0"/>
          <w:marRight w:val="0"/>
          <w:marTop w:val="0"/>
          <w:marBottom w:val="0"/>
          <w:divBdr>
            <w:top w:val="none" w:sz="0" w:space="0" w:color="auto"/>
            <w:left w:val="none" w:sz="0" w:space="0" w:color="auto"/>
            <w:bottom w:val="none" w:sz="0" w:space="0" w:color="auto"/>
            <w:right w:val="none" w:sz="0" w:space="0" w:color="auto"/>
          </w:divBdr>
        </w:div>
        <w:div w:id="308479388">
          <w:marLeft w:val="0"/>
          <w:marRight w:val="0"/>
          <w:marTop w:val="0"/>
          <w:marBottom w:val="0"/>
          <w:divBdr>
            <w:top w:val="none" w:sz="0" w:space="0" w:color="auto"/>
            <w:left w:val="none" w:sz="0" w:space="0" w:color="auto"/>
            <w:bottom w:val="none" w:sz="0" w:space="0" w:color="auto"/>
            <w:right w:val="none" w:sz="0" w:space="0" w:color="auto"/>
          </w:divBdr>
        </w:div>
        <w:div w:id="857352378">
          <w:marLeft w:val="0"/>
          <w:marRight w:val="0"/>
          <w:marTop w:val="0"/>
          <w:marBottom w:val="0"/>
          <w:divBdr>
            <w:top w:val="none" w:sz="0" w:space="0" w:color="auto"/>
            <w:left w:val="none" w:sz="0" w:space="0" w:color="auto"/>
            <w:bottom w:val="none" w:sz="0" w:space="0" w:color="auto"/>
            <w:right w:val="none" w:sz="0" w:space="0" w:color="auto"/>
          </w:divBdr>
        </w:div>
        <w:div w:id="1899316137">
          <w:marLeft w:val="0"/>
          <w:marRight w:val="0"/>
          <w:marTop w:val="0"/>
          <w:marBottom w:val="0"/>
          <w:divBdr>
            <w:top w:val="none" w:sz="0" w:space="0" w:color="auto"/>
            <w:left w:val="none" w:sz="0" w:space="0" w:color="auto"/>
            <w:bottom w:val="none" w:sz="0" w:space="0" w:color="auto"/>
            <w:right w:val="none" w:sz="0" w:space="0" w:color="auto"/>
          </w:divBdr>
        </w:div>
        <w:div w:id="887956802">
          <w:marLeft w:val="0"/>
          <w:marRight w:val="0"/>
          <w:marTop w:val="0"/>
          <w:marBottom w:val="0"/>
          <w:divBdr>
            <w:top w:val="none" w:sz="0" w:space="0" w:color="auto"/>
            <w:left w:val="none" w:sz="0" w:space="0" w:color="auto"/>
            <w:bottom w:val="none" w:sz="0" w:space="0" w:color="auto"/>
            <w:right w:val="none" w:sz="0" w:space="0" w:color="auto"/>
          </w:divBdr>
        </w:div>
        <w:div w:id="1437018716">
          <w:marLeft w:val="0"/>
          <w:marRight w:val="0"/>
          <w:marTop w:val="0"/>
          <w:marBottom w:val="0"/>
          <w:divBdr>
            <w:top w:val="none" w:sz="0" w:space="0" w:color="auto"/>
            <w:left w:val="none" w:sz="0" w:space="0" w:color="auto"/>
            <w:bottom w:val="none" w:sz="0" w:space="0" w:color="auto"/>
            <w:right w:val="none" w:sz="0" w:space="0" w:color="auto"/>
          </w:divBdr>
        </w:div>
        <w:div w:id="323552220">
          <w:marLeft w:val="0"/>
          <w:marRight w:val="0"/>
          <w:marTop w:val="0"/>
          <w:marBottom w:val="0"/>
          <w:divBdr>
            <w:top w:val="none" w:sz="0" w:space="0" w:color="auto"/>
            <w:left w:val="none" w:sz="0" w:space="0" w:color="auto"/>
            <w:bottom w:val="none" w:sz="0" w:space="0" w:color="auto"/>
            <w:right w:val="none" w:sz="0" w:space="0" w:color="auto"/>
          </w:divBdr>
        </w:div>
        <w:div w:id="333532178">
          <w:marLeft w:val="0"/>
          <w:marRight w:val="0"/>
          <w:marTop w:val="0"/>
          <w:marBottom w:val="0"/>
          <w:divBdr>
            <w:top w:val="none" w:sz="0" w:space="0" w:color="auto"/>
            <w:left w:val="none" w:sz="0" w:space="0" w:color="auto"/>
            <w:bottom w:val="none" w:sz="0" w:space="0" w:color="auto"/>
            <w:right w:val="none" w:sz="0" w:space="0" w:color="auto"/>
          </w:divBdr>
        </w:div>
        <w:div w:id="1945111953">
          <w:marLeft w:val="0"/>
          <w:marRight w:val="0"/>
          <w:marTop w:val="0"/>
          <w:marBottom w:val="0"/>
          <w:divBdr>
            <w:top w:val="none" w:sz="0" w:space="0" w:color="auto"/>
            <w:left w:val="none" w:sz="0" w:space="0" w:color="auto"/>
            <w:bottom w:val="none" w:sz="0" w:space="0" w:color="auto"/>
            <w:right w:val="none" w:sz="0" w:space="0" w:color="auto"/>
          </w:divBdr>
        </w:div>
        <w:div w:id="309482223">
          <w:marLeft w:val="0"/>
          <w:marRight w:val="0"/>
          <w:marTop w:val="0"/>
          <w:marBottom w:val="0"/>
          <w:divBdr>
            <w:top w:val="none" w:sz="0" w:space="0" w:color="auto"/>
            <w:left w:val="none" w:sz="0" w:space="0" w:color="auto"/>
            <w:bottom w:val="none" w:sz="0" w:space="0" w:color="auto"/>
            <w:right w:val="none" w:sz="0" w:space="0" w:color="auto"/>
          </w:divBdr>
        </w:div>
      </w:divsChild>
    </w:div>
    <w:div w:id="821434186">
      <w:bodyDiv w:val="1"/>
      <w:marLeft w:val="0"/>
      <w:marRight w:val="0"/>
      <w:marTop w:val="0"/>
      <w:marBottom w:val="0"/>
      <w:divBdr>
        <w:top w:val="none" w:sz="0" w:space="0" w:color="auto"/>
        <w:left w:val="none" w:sz="0" w:space="0" w:color="auto"/>
        <w:bottom w:val="none" w:sz="0" w:space="0" w:color="auto"/>
        <w:right w:val="none" w:sz="0" w:space="0" w:color="auto"/>
      </w:divBdr>
    </w:div>
    <w:div w:id="837622443">
      <w:bodyDiv w:val="1"/>
      <w:marLeft w:val="0"/>
      <w:marRight w:val="0"/>
      <w:marTop w:val="0"/>
      <w:marBottom w:val="0"/>
      <w:divBdr>
        <w:top w:val="none" w:sz="0" w:space="0" w:color="auto"/>
        <w:left w:val="none" w:sz="0" w:space="0" w:color="auto"/>
        <w:bottom w:val="none" w:sz="0" w:space="0" w:color="auto"/>
        <w:right w:val="none" w:sz="0" w:space="0" w:color="auto"/>
      </w:divBdr>
    </w:div>
    <w:div w:id="879125574">
      <w:bodyDiv w:val="1"/>
      <w:marLeft w:val="0"/>
      <w:marRight w:val="0"/>
      <w:marTop w:val="0"/>
      <w:marBottom w:val="0"/>
      <w:divBdr>
        <w:top w:val="none" w:sz="0" w:space="0" w:color="auto"/>
        <w:left w:val="none" w:sz="0" w:space="0" w:color="auto"/>
        <w:bottom w:val="none" w:sz="0" w:space="0" w:color="auto"/>
        <w:right w:val="none" w:sz="0" w:space="0" w:color="auto"/>
      </w:divBdr>
    </w:div>
    <w:div w:id="930889090">
      <w:bodyDiv w:val="1"/>
      <w:marLeft w:val="0"/>
      <w:marRight w:val="0"/>
      <w:marTop w:val="0"/>
      <w:marBottom w:val="0"/>
      <w:divBdr>
        <w:top w:val="none" w:sz="0" w:space="0" w:color="auto"/>
        <w:left w:val="none" w:sz="0" w:space="0" w:color="auto"/>
        <w:bottom w:val="none" w:sz="0" w:space="0" w:color="auto"/>
        <w:right w:val="none" w:sz="0" w:space="0" w:color="auto"/>
      </w:divBdr>
    </w:div>
    <w:div w:id="931202467">
      <w:bodyDiv w:val="1"/>
      <w:marLeft w:val="0"/>
      <w:marRight w:val="0"/>
      <w:marTop w:val="0"/>
      <w:marBottom w:val="0"/>
      <w:divBdr>
        <w:top w:val="none" w:sz="0" w:space="0" w:color="auto"/>
        <w:left w:val="none" w:sz="0" w:space="0" w:color="auto"/>
        <w:bottom w:val="none" w:sz="0" w:space="0" w:color="auto"/>
        <w:right w:val="none" w:sz="0" w:space="0" w:color="auto"/>
      </w:divBdr>
    </w:div>
    <w:div w:id="1080640808">
      <w:bodyDiv w:val="1"/>
      <w:marLeft w:val="0"/>
      <w:marRight w:val="0"/>
      <w:marTop w:val="0"/>
      <w:marBottom w:val="0"/>
      <w:divBdr>
        <w:top w:val="none" w:sz="0" w:space="0" w:color="auto"/>
        <w:left w:val="none" w:sz="0" w:space="0" w:color="auto"/>
        <w:bottom w:val="none" w:sz="0" w:space="0" w:color="auto"/>
        <w:right w:val="none" w:sz="0" w:space="0" w:color="auto"/>
      </w:divBdr>
    </w:div>
    <w:div w:id="1207521269">
      <w:bodyDiv w:val="1"/>
      <w:marLeft w:val="0"/>
      <w:marRight w:val="0"/>
      <w:marTop w:val="0"/>
      <w:marBottom w:val="0"/>
      <w:divBdr>
        <w:top w:val="none" w:sz="0" w:space="0" w:color="auto"/>
        <w:left w:val="none" w:sz="0" w:space="0" w:color="auto"/>
        <w:bottom w:val="none" w:sz="0" w:space="0" w:color="auto"/>
        <w:right w:val="none" w:sz="0" w:space="0" w:color="auto"/>
      </w:divBdr>
    </w:div>
    <w:div w:id="1228346919">
      <w:bodyDiv w:val="1"/>
      <w:marLeft w:val="0"/>
      <w:marRight w:val="0"/>
      <w:marTop w:val="0"/>
      <w:marBottom w:val="0"/>
      <w:divBdr>
        <w:top w:val="none" w:sz="0" w:space="0" w:color="auto"/>
        <w:left w:val="none" w:sz="0" w:space="0" w:color="auto"/>
        <w:bottom w:val="none" w:sz="0" w:space="0" w:color="auto"/>
        <w:right w:val="none" w:sz="0" w:space="0" w:color="auto"/>
      </w:divBdr>
    </w:div>
    <w:div w:id="1353386170">
      <w:bodyDiv w:val="1"/>
      <w:marLeft w:val="0"/>
      <w:marRight w:val="0"/>
      <w:marTop w:val="0"/>
      <w:marBottom w:val="0"/>
      <w:divBdr>
        <w:top w:val="none" w:sz="0" w:space="0" w:color="auto"/>
        <w:left w:val="none" w:sz="0" w:space="0" w:color="auto"/>
        <w:bottom w:val="none" w:sz="0" w:space="0" w:color="auto"/>
        <w:right w:val="none" w:sz="0" w:space="0" w:color="auto"/>
      </w:divBdr>
    </w:div>
    <w:div w:id="1426924351">
      <w:bodyDiv w:val="1"/>
      <w:marLeft w:val="0"/>
      <w:marRight w:val="0"/>
      <w:marTop w:val="0"/>
      <w:marBottom w:val="0"/>
      <w:divBdr>
        <w:top w:val="none" w:sz="0" w:space="0" w:color="auto"/>
        <w:left w:val="none" w:sz="0" w:space="0" w:color="auto"/>
        <w:bottom w:val="none" w:sz="0" w:space="0" w:color="auto"/>
        <w:right w:val="none" w:sz="0" w:space="0" w:color="auto"/>
      </w:divBdr>
    </w:div>
    <w:div w:id="1457455434">
      <w:bodyDiv w:val="1"/>
      <w:marLeft w:val="0"/>
      <w:marRight w:val="0"/>
      <w:marTop w:val="0"/>
      <w:marBottom w:val="0"/>
      <w:divBdr>
        <w:top w:val="none" w:sz="0" w:space="0" w:color="auto"/>
        <w:left w:val="none" w:sz="0" w:space="0" w:color="auto"/>
        <w:bottom w:val="none" w:sz="0" w:space="0" w:color="auto"/>
        <w:right w:val="none" w:sz="0" w:space="0" w:color="auto"/>
      </w:divBdr>
    </w:div>
    <w:div w:id="1557425049">
      <w:bodyDiv w:val="1"/>
      <w:marLeft w:val="0"/>
      <w:marRight w:val="0"/>
      <w:marTop w:val="0"/>
      <w:marBottom w:val="0"/>
      <w:divBdr>
        <w:top w:val="none" w:sz="0" w:space="0" w:color="auto"/>
        <w:left w:val="none" w:sz="0" w:space="0" w:color="auto"/>
        <w:bottom w:val="none" w:sz="0" w:space="0" w:color="auto"/>
        <w:right w:val="none" w:sz="0" w:space="0" w:color="auto"/>
      </w:divBdr>
    </w:div>
    <w:div w:id="1585869728">
      <w:bodyDiv w:val="1"/>
      <w:marLeft w:val="0"/>
      <w:marRight w:val="0"/>
      <w:marTop w:val="0"/>
      <w:marBottom w:val="0"/>
      <w:divBdr>
        <w:top w:val="none" w:sz="0" w:space="0" w:color="auto"/>
        <w:left w:val="none" w:sz="0" w:space="0" w:color="auto"/>
        <w:bottom w:val="none" w:sz="0" w:space="0" w:color="auto"/>
        <w:right w:val="none" w:sz="0" w:space="0" w:color="auto"/>
      </w:divBdr>
    </w:div>
    <w:div w:id="1858423337">
      <w:bodyDiv w:val="1"/>
      <w:marLeft w:val="0"/>
      <w:marRight w:val="0"/>
      <w:marTop w:val="0"/>
      <w:marBottom w:val="0"/>
      <w:divBdr>
        <w:top w:val="none" w:sz="0" w:space="0" w:color="auto"/>
        <w:left w:val="none" w:sz="0" w:space="0" w:color="auto"/>
        <w:bottom w:val="none" w:sz="0" w:space="0" w:color="auto"/>
        <w:right w:val="none" w:sz="0" w:space="0" w:color="auto"/>
      </w:divBdr>
    </w:div>
    <w:div w:id="1921253649">
      <w:bodyDiv w:val="1"/>
      <w:marLeft w:val="0"/>
      <w:marRight w:val="0"/>
      <w:marTop w:val="0"/>
      <w:marBottom w:val="0"/>
      <w:divBdr>
        <w:top w:val="none" w:sz="0" w:space="0" w:color="auto"/>
        <w:left w:val="none" w:sz="0" w:space="0" w:color="auto"/>
        <w:bottom w:val="none" w:sz="0" w:space="0" w:color="auto"/>
        <w:right w:val="none" w:sz="0" w:space="0" w:color="auto"/>
      </w:divBdr>
      <w:divsChild>
        <w:div w:id="1414860678">
          <w:marLeft w:val="547"/>
          <w:marRight w:val="0"/>
          <w:marTop w:val="0"/>
          <w:marBottom w:val="0"/>
          <w:divBdr>
            <w:top w:val="none" w:sz="0" w:space="0" w:color="auto"/>
            <w:left w:val="none" w:sz="0" w:space="0" w:color="auto"/>
            <w:bottom w:val="none" w:sz="0" w:space="0" w:color="auto"/>
            <w:right w:val="none" w:sz="0" w:space="0" w:color="auto"/>
          </w:divBdr>
        </w:div>
        <w:div w:id="1489633729">
          <w:marLeft w:val="547"/>
          <w:marRight w:val="0"/>
          <w:marTop w:val="0"/>
          <w:marBottom w:val="0"/>
          <w:divBdr>
            <w:top w:val="none" w:sz="0" w:space="0" w:color="auto"/>
            <w:left w:val="none" w:sz="0" w:space="0" w:color="auto"/>
            <w:bottom w:val="none" w:sz="0" w:space="0" w:color="auto"/>
            <w:right w:val="none" w:sz="0" w:space="0" w:color="auto"/>
          </w:divBdr>
        </w:div>
        <w:div w:id="1483690494">
          <w:marLeft w:val="547"/>
          <w:marRight w:val="0"/>
          <w:marTop w:val="0"/>
          <w:marBottom w:val="0"/>
          <w:divBdr>
            <w:top w:val="none" w:sz="0" w:space="0" w:color="auto"/>
            <w:left w:val="none" w:sz="0" w:space="0" w:color="auto"/>
            <w:bottom w:val="none" w:sz="0" w:space="0" w:color="auto"/>
            <w:right w:val="none" w:sz="0" w:space="0" w:color="auto"/>
          </w:divBdr>
        </w:div>
        <w:div w:id="1171164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hyperlink" Target="http://eprints.undip.ac.id/387/1/Agung_Wibowo.pdf" TargetMode="External"/><Relationship Id="rId39" Type="http://schemas.openxmlformats.org/officeDocument/2006/relationships/hyperlink" Target="http://www.ilo.org/wcmsp5/groups/public/---ed_emp/---emp_policy/documents/publication/wcms_127814.pdf" TargetMode="External"/><Relationship Id="rId21" Type="http://schemas.openxmlformats.org/officeDocument/2006/relationships/chart" Target="charts/chart4.xml"/><Relationship Id="rId34" Type="http://schemas.openxmlformats.org/officeDocument/2006/relationships/hyperlink" Target="http://aiggpa.mp.gov.in/images/files/KAIR/Knowledge-Resources/03-Employment/Publications/National/Overseas%20Migration%20Patterns%20from%20India,%202016.pdf" TargetMode="External"/><Relationship Id="rId42" Type="http://schemas.openxmlformats.org/officeDocument/2006/relationships/hyperlink" Target="http://www.ilo.org/wcmsp5/groups/public/---dgreports/---stat/documents/publication/wcms_234413.pdf" TargetMode="External"/><Relationship Id="rId47" Type="http://schemas.openxmlformats.org/officeDocument/2006/relationships/hyperlink" Target="http://www.ilo.org/wcmsp5/groups/public/---ed_dialogue/---sector/documents/publication/wcms_416378.pdf" TargetMode="External"/><Relationship Id="rId50" Type="http://schemas.openxmlformats.org/officeDocument/2006/relationships/hyperlink" Target="http://www.ilo.org/wcmsp5/groups/public/---ed_emp/---emp_policy/---invest/documents/publication/wcms_426586.pdf" TargetMode="External"/><Relationship Id="rId55" Type="http://schemas.openxmlformats.org/officeDocument/2006/relationships/hyperlink" Target="http://www.ilo.org/addisababa/information-resources/publications/WCMS_485359/lang--en/index.htm" TargetMode="External"/><Relationship Id="rId63" Type="http://schemas.openxmlformats.org/officeDocument/2006/relationships/hyperlink" Target="http://www.nsdcindia.org/sites/default/files/files/Bldg-Const-Real-Estate-2009.pdf" TargetMode="External"/><Relationship Id="rId68" Type="http://schemas.openxmlformats.org/officeDocument/2006/relationships/hyperlink" Target="http://unesdoc.unesco.org/images/0024/002480/248069E.pdf" TargetMode="External"/><Relationship Id="rId76" Type="http://schemas.openxmlformats.org/officeDocument/2006/relationships/hyperlink" Target="http://web.usm.my/jcdc/vol11_1_2006/2_Jill%20Wells(p.17-36).pdf" TargetMode="External"/><Relationship Id="rId7" Type="http://schemas.openxmlformats.org/officeDocument/2006/relationships/settings" Target="settings.xml"/><Relationship Id="rId71" Type="http://schemas.openxmlformats.org/officeDocument/2006/relationships/hyperlink" Target="https://unstats.un.org/unsd/statcom/doc02/isic.pdf"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brookings.edu/blog/order-from-chaos/2016/07/11/setting-the-record-straight-on-chinas-engagement-in-africa/%20" TargetMode="External"/><Relationship Id="rId11" Type="http://schemas.openxmlformats.org/officeDocument/2006/relationships/header" Target="header1.xml"/><Relationship Id="rId24" Type="http://schemas.openxmlformats.org/officeDocument/2006/relationships/hyperlink" Target="http://www.ilo.org/wcmsp5/groups/public/@ed_norm/@normes/documents/publication/wcms_099699.pdf" TargetMode="External"/><Relationship Id="rId32" Type="http://schemas.openxmlformats.org/officeDocument/2006/relationships/hyperlink" Target="http://www.worldbank.org/en/topic/socialdevelopment/brief/violence-against-women-and-girls" TargetMode="External"/><Relationship Id="rId37" Type="http://schemas.openxmlformats.org/officeDocument/2006/relationships/hyperlink" Target="http://www.ilo.org/global/publications/ilo-bookstore/order-online/books/WCMS_PUBL_9221126226_EN/lang--en/index.htm" TargetMode="External"/><Relationship Id="rId40" Type="http://schemas.openxmlformats.org/officeDocument/2006/relationships/hyperlink" Target="http://www.ilo.org/global/publications/ilo-bookstore/order-online/books/WCMS_155428/lang--en/index.htm" TargetMode="External"/><Relationship Id="rId45" Type="http://schemas.openxmlformats.org/officeDocument/2006/relationships/hyperlink" Target="http://www.ilo.org/global/research/global-reports/weso/2015/lang--en/index.htm" TargetMode="External"/><Relationship Id="rId53" Type="http://schemas.openxmlformats.org/officeDocument/2006/relationships/hyperlink" Target="http://www.ilo.org/wcmsp5/groups/public/---ed_mas/---eval/documents/publication/wcms_551744.pdf%20" TargetMode="External"/><Relationship Id="rId58" Type="http://schemas.openxmlformats.org/officeDocument/2006/relationships/hyperlink" Target="http://www.iosrjournals.org/iosr-jhss/papers/Vol14-issue4/D01442730.pdf?id=6702" TargetMode="External"/><Relationship Id="rId66" Type="http://schemas.openxmlformats.org/officeDocument/2006/relationships/hyperlink" Target="https://www.researchgate.net/publication/294355586_THE_ROLE_OF_WOMEN_IN_CONSTRUCTION_INDUSTRY_AN_INDIAN_PERSPECTIVE" TargetMode="External"/><Relationship Id="rId74" Type="http://schemas.openxmlformats.org/officeDocument/2006/relationships/hyperlink" Target="https://es.scribd.com/document/207967526/Health-and-Safety-Hazards-in-the-Construction-Industry"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africa-newsroom.com/files/download/aa9f2979a3dc18e"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www.ilo.org/ipec/Informationresources/WCMS_IPEC_PUB_25300/lang--en/index.htm" TargetMode="External"/><Relationship Id="rId44" Type="http://schemas.openxmlformats.org/officeDocument/2006/relationships/hyperlink" Target="http://www.ilo.org/wcmsp5/groups/public/---ed_emp/---emp_ent/---ifp_seed/documents/briefingnote/wcms_364076.pdf" TargetMode="External"/><Relationship Id="rId52" Type="http://schemas.openxmlformats.org/officeDocument/2006/relationships/hyperlink" Target="http://www.ilo.org/wcmsp5/groups/public/---ed_protect/---protrav/---migrant/documents/publication/wcms_538487.pdf" TargetMode="External"/><Relationship Id="rId60" Type="http://schemas.openxmlformats.org/officeDocument/2006/relationships/hyperlink" Target="http://misbe2011.fyper.com/proceedings/documents/183.pdf" TargetMode="External"/><Relationship Id="rId65" Type="http://schemas.openxmlformats.org/officeDocument/2006/relationships/hyperlink" Target="http://www.epw.in/journal/2002/07/special-articles/casualisation-urban-labour-force.html" TargetMode="External"/><Relationship Id="rId73" Type="http://schemas.openxmlformats.org/officeDocument/2006/relationships/hyperlink" Target="http://www.watts.co.uk/bulletins/rics-highlights-full-value-of-construction-to-economy/" TargetMode="External"/><Relationship Id="rId78"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connect.bwint.org/pdfs/Policy_papers_2_EN_HD.pdf" TargetMode="External"/><Relationship Id="rId30" Type="http://schemas.openxmlformats.org/officeDocument/2006/relationships/hyperlink" Target="https://www.ncbi.nlm.nih.gov/pubmed/16273958" TargetMode="External"/><Relationship Id="rId35" Type="http://schemas.openxmlformats.org/officeDocument/2006/relationships/hyperlink" Target="https://www.brookings.edu/blog/africa-in-focus/2015/06/24/who-wins-world-bank-financed-government-contracts-four-things-we-learned-from-the-data-1-lingering-question/" TargetMode="External"/><Relationship Id="rId43" Type="http://schemas.openxmlformats.org/officeDocument/2006/relationships/hyperlink" Target="http://www.ilo.org/emppolicy/pubs/WCMS_212688/lang--en/index.htm" TargetMode="External"/><Relationship Id="rId48" Type="http://schemas.openxmlformats.org/officeDocument/2006/relationships/hyperlink" Target="http://www.ilo.org/wcmsp5/groups/public/---dgreports/---dcomm/documents/publication/wcms_245201.pdf" TargetMode="External"/><Relationship Id="rId56" Type="http://schemas.openxmlformats.org/officeDocument/2006/relationships/hyperlink" Target="http://www.ilo.org/wcmsp5/groups/public/---ed_emp/---gjp/documents/publication/wcms_476085.pdf" TargetMode="External"/><Relationship Id="rId64" Type="http://schemas.openxmlformats.org/officeDocument/2006/relationships/hyperlink" Target="http://www.npr.org/2013/08/07/207858449/for-ethiopian-women-construction-jobs-offer-a-better-life" TargetMode="External"/><Relationship Id="rId69" Type="http://schemas.openxmlformats.org/officeDocument/2006/relationships/hyperlink" Target="https://esa.un.org/unpd/wup/publications/files/wup2014-highlights.Pdf" TargetMode="External"/><Relationship Id="rId77" Type="http://schemas.openxmlformats.org/officeDocument/2006/relationships/hyperlink" Target="http://www.tandfonline.com/doi/abs/10.1080/01446190600601339" TargetMode="External"/><Relationship Id="rId8" Type="http://schemas.openxmlformats.org/officeDocument/2006/relationships/webSettings" Target="webSettings.xml"/><Relationship Id="rId51" Type="http://schemas.openxmlformats.org/officeDocument/2006/relationships/hyperlink" Target="http://www.ilo.org/wcmsp5/groups/public/---ed_emp/---emp_policy/---invest/documents/publication/wcms_426588.pdf" TargetMode="External"/><Relationship Id="rId72" Type="http://schemas.openxmlformats.org/officeDocument/2006/relationships/hyperlink" Target="http://www.dol.gov/ilab/reports/pdf/TVPRA_Report2014.pdf"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image" Target="media/image5.png"/><Relationship Id="rId33" Type="http://schemas.openxmlformats.org/officeDocument/2006/relationships/hyperlink" Target="https://www.forbes.com/forbesinsights/diversity_2012/" TargetMode="External"/><Relationship Id="rId38" Type="http://schemas.openxmlformats.org/officeDocument/2006/relationships/hyperlink" Target="file:///C:\Users\Andr&#233;s\Downloads\www.ilo.org\asia\publications\WCMS_110354\lang--en\index.htm" TargetMode="External"/><Relationship Id="rId46" Type="http://schemas.openxmlformats.org/officeDocument/2006/relationships/hyperlink" Target="http://www.ilo.org/global/topics/labour-migration/publications/WCMS_436343/lang--en/index.htm" TargetMode="External"/><Relationship Id="rId59" Type="http://schemas.openxmlformats.org/officeDocument/2006/relationships/hyperlink" Target="https://assets.kpmg.com/content/dam/kpmg/pdf/2015/04/global-construction-survey-2015.pdf" TargetMode="External"/><Relationship Id="rId67" Type="http://schemas.openxmlformats.org/officeDocument/2006/relationships/hyperlink" Target="http://www.industrytap.com/global-construction-expected-to-increase-by-4-8-trillion-by-2020/1483" TargetMode="External"/><Relationship Id="rId20" Type="http://schemas.openxmlformats.org/officeDocument/2006/relationships/chart" Target="charts/chart3.xml"/><Relationship Id="rId41" Type="http://schemas.openxmlformats.org/officeDocument/2006/relationships/hyperlink" Target="http://www.ilo.org/asia/publications/WCMS_172671/lang--en/index.htm" TargetMode="External"/><Relationship Id="rId54" Type="http://schemas.openxmlformats.org/officeDocument/2006/relationships/hyperlink" Target="http://www.ilo.org/wcmsp5/groups/public/---ed_mas/---eval/documents/publication/wcms_556633.pdf" TargetMode="External"/><Relationship Id="rId62" Type="http://schemas.openxmlformats.org/officeDocument/2006/relationships/hyperlink" Target="http://staging.ilo.org/public/libdoc/ilo/2009/109B09_160_engl.pdf" TargetMode="External"/><Relationship Id="rId70" Type="http://schemas.openxmlformats.org/officeDocument/2006/relationships/hyperlink" Target="http://www.un.org/en/development/desa/population/migration/publications/migrationreport/docs/MigrationReport2015_Highlights.pdf" TargetMode="External"/><Relationship Id="rId75" Type="http://schemas.openxmlformats.org/officeDocument/2006/relationships/hyperlink" Target="http://www.sciencedirect.com/science/article/pii/019739759500064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chart" Target="charts/chart6.xml"/><Relationship Id="rId28" Type="http://schemas.openxmlformats.org/officeDocument/2006/relationships/hyperlink" Target="http://www.sitsabo.co.za/docs/misc/cib_paper2012.pdf" TargetMode="External"/><Relationship Id="rId36" Type="http://schemas.openxmlformats.org/officeDocument/2006/relationships/hyperlink" Target="https://www.hrw.org/world-report/2014" TargetMode="External"/><Relationship Id="rId49" Type="http://schemas.openxmlformats.org/officeDocument/2006/relationships/hyperlink" Target="http://www.ilo.org/wcmsp5/groups/public/---ed_emp/---emp_policy/---invest/documents/publication/wcms_444326.pdf" TargetMode="External"/><Relationship Id="rId57" Type="http://schemas.openxmlformats.org/officeDocument/2006/relationships/hyperlink" Target="http://www.ilo.org/sector/Resources/publications/WCMS_160790/lang--en/index.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233;s\Google%20Drive\ICED%20%20DFID\Edmundo%20Construction%20Employ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dr&#233;s\Google%20Drive\ICED%20%20DFID\Edmundo%20Construction%20Employm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dr&#233;s\Google%20Drive\ICED%20%20DFID\Edmundo%20Construction%20Employmen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dr&#233;s\Google%20Drive\ICED%20%20DFID\Edmundo%20Construction%20Employmen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dr&#233;s\Google%20Drive\ICED%20%20DFID\Edmundo%20Construction%20Employmen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dr&#233;s\Downloads\ILOSTAT_%20(21).xls"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Hoja4!$A$2</c:f>
              <c:strCache>
                <c:ptCount val="1"/>
                <c:pt idx="0">
                  <c:v>Afghanistan</c:v>
                </c:pt>
              </c:strCache>
            </c:strRef>
          </c:tx>
          <c:spPr>
            <a:ln w="28575" cap="rnd" cmpd="sng" algn="ctr">
              <a:noFill/>
              <a:prstDash val="solid"/>
              <a:round/>
            </a:ln>
            <a:effectLst/>
          </c:spPr>
          <c:marker>
            <c:spPr>
              <a:solidFill>
                <a:schemeClr val="accent1"/>
              </a:solidFill>
              <a:ln w="9525" cap="flat" cmpd="sng" algn="ctr">
                <a:solidFill>
                  <a:schemeClr val="accent1">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Hoja4!$B$2</c:f>
              <c:numCache>
                <c:formatCode>0.00%</c:formatCode>
                <c:ptCount val="1"/>
                <c:pt idx="0">
                  <c:v>2.0000000000000007E-2</c:v>
                </c:pt>
              </c:numCache>
            </c:numRef>
          </c:xVal>
          <c:yVal>
            <c:numRef>
              <c:f>Hoja4!$C$2</c:f>
              <c:numCache>
                <c:formatCode>0.00%</c:formatCode>
                <c:ptCount val="1"/>
                <c:pt idx="0">
                  <c:v>8.9795918367347238E-2</c:v>
                </c:pt>
              </c:numCache>
            </c:numRef>
          </c:yVal>
          <c:smooth val="0"/>
          <c:extLst>
            <c:ext xmlns:c16="http://schemas.microsoft.com/office/drawing/2014/chart" uri="{C3380CC4-5D6E-409C-BE32-E72D297353CC}">
              <c16:uniqueId val="{00000000-1D71-4B7C-87F8-91728B12367E}"/>
            </c:ext>
          </c:extLst>
        </c:ser>
        <c:ser>
          <c:idx val="1"/>
          <c:order val="1"/>
          <c:tx>
            <c:strRef>
              <c:f>Hoja4!$A$3</c:f>
              <c:strCache>
                <c:ptCount val="1"/>
                <c:pt idx="0">
                  <c:v>Bangladesh</c:v>
                </c:pt>
              </c:strCache>
            </c:strRef>
          </c:tx>
          <c:spPr>
            <a:ln w="28575" cap="rnd" cmpd="sng" algn="ctr">
              <a:noFill/>
              <a:prstDash val="solid"/>
              <a:round/>
            </a:ln>
            <a:effectLst/>
          </c:spPr>
          <c:marker>
            <c:spPr>
              <a:solidFill>
                <a:schemeClr val="accent2"/>
              </a:solidFill>
              <a:ln w="9525" cap="flat" cmpd="sng" algn="ctr">
                <a:solidFill>
                  <a:schemeClr val="accent2">
                    <a:shade val="95000"/>
                    <a:satMod val="105000"/>
                  </a:schemeClr>
                </a:solidFill>
                <a:prstDash val="solid"/>
                <a:round/>
              </a:ln>
              <a:effectLst/>
            </c:spPr>
          </c:marker>
          <c:dLbls>
            <c:dLbl>
              <c:idx val="0"/>
              <c:layout>
                <c:manualLayout>
                  <c:x val="-9.340336869913415E-3"/>
                  <c:y val="1.995012468827940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Hoja4!$B$3</c:f>
              <c:numCache>
                <c:formatCode>0.00%</c:formatCode>
                <c:ptCount val="1"/>
                <c:pt idx="0">
                  <c:v>5.7000000000000113E-2</c:v>
                </c:pt>
              </c:numCache>
            </c:numRef>
          </c:xVal>
          <c:yVal>
            <c:numRef>
              <c:f>Hoja4!$C$3</c:f>
              <c:numCache>
                <c:formatCode>0.00%</c:formatCode>
                <c:ptCount val="1"/>
                <c:pt idx="0">
                  <c:v>6.713189113747392E-2</c:v>
                </c:pt>
              </c:numCache>
            </c:numRef>
          </c:yVal>
          <c:smooth val="0"/>
          <c:extLst>
            <c:ext xmlns:c16="http://schemas.microsoft.com/office/drawing/2014/chart" uri="{C3380CC4-5D6E-409C-BE32-E72D297353CC}">
              <c16:uniqueId val="{00000002-1D71-4B7C-87F8-91728B12367E}"/>
            </c:ext>
          </c:extLst>
        </c:ser>
        <c:ser>
          <c:idx val="2"/>
          <c:order val="2"/>
          <c:tx>
            <c:strRef>
              <c:f>Hoja4!$A$4</c:f>
              <c:strCache>
                <c:ptCount val="1"/>
                <c:pt idx="0">
                  <c:v>DRC</c:v>
                </c:pt>
              </c:strCache>
            </c:strRef>
          </c:tx>
          <c:spPr>
            <a:ln w="28575" cap="rnd" cmpd="sng" algn="ctr">
              <a:noFill/>
              <a:prstDash val="solid"/>
              <a:round/>
            </a:ln>
            <a:effectLst/>
          </c:spPr>
          <c:marker>
            <c:spPr>
              <a:solidFill>
                <a:schemeClr val="accent3"/>
              </a:solidFill>
              <a:ln w="9525" cap="flat" cmpd="sng" algn="ctr">
                <a:solidFill>
                  <a:schemeClr val="accent3">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Hoja4!$B$4</c:f>
              <c:numCache>
                <c:formatCode>0.00%</c:formatCode>
                <c:ptCount val="1"/>
                <c:pt idx="0">
                  <c:v>2.4E-2</c:v>
                </c:pt>
              </c:numCache>
            </c:numRef>
          </c:xVal>
          <c:yVal>
            <c:numRef>
              <c:f>Hoja4!$C$4</c:f>
              <c:numCache>
                <c:formatCode>0.00%</c:formatCode>
                <c:ptCount val="1"/>
                <c:pt idx="0">
                  <c:v>6.4793388429752102E-2</c:v>
                </c:pt>
              </c:numCache>
            </c:numRef>
          </c:yVal>
          <c:smooth val="0"/>
          <c:extLst>
            <c:ext xmlns:c16="http://schemas.microsoft.com/office/drawing/2014/chart" uri="{C3380CC4-5D6E-409C-BE32-E72D297353CC}">
              <c16:uniqueId val="{00000003-1D71-4B7C-87F8-91728B12367E}"/>
            </c:ext>
          </c:extLst>
        </c:ser>
        <c:ser>
          <c:idx val="3"/>
          <c:order val="3"/>
          <c:tx>
            <c:strRef>
              <c:f>Hoja4!$A$5</c:f>
              <c:strCache>
                <c:ptCount val="1"/>
                <c:pt idx="0">
                  <c:v>Ethiopia</c:v>
                </c:pt>
              </c:strCache>
            </c:strRef>
          </c:tx>
          <c:spPr>
            <a:ln w="28575" cap="rnd" cmpd="sng" algn="ctr">
              <a:noFill/>
              <a:prstDash val="solid"/>
              <a:round/>
            </a:ln>
            <a:effectLst/>
          </c:spPr>
          <c:marker>
            <c:spPr>
              <a:noFill/>
              <a:ln w="9525" cap="flat" cmpd="sng" algn="ctr">
                <a:solidFill>
                  <a:schemeClr val="accent4">
                    <a:shade val="95000"/>
                    <a:satMod val="105000"/>
                  </a:schemeClr>
                </a:solidFill>
                <a:prstDash val="solid"/>
                <a:round/>
              </a:ln>
              <a:effectLst/>
            </c:spPr>
          </c:marker>
          <c:dLbls>
            <c:dLbl>
              <c:idx val="0"/>
              <c:layout>
                <c:manualLayout>
                  <c:x val="-7.0052526524350504E-3"/>
                  <c:y val="-2.6600166251039108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Hoja4!$B$5</c:f>
              <c:numCache>
                <c:formatCode>0.00%</c:formatCode>
                <c:ptCount val="1"/>
                <c:pt idx="0">
                  <c:v>2.0000000000000007E-2</c:v>
                </c:pt>
              </c:numCache>
            </c:numRef>
          </c:xVal>
          <c:yVal>
            <c:numRef>
              <c:f>Hoja4!$C$5</c:f>
              <c:numCache>
                <c:formatCode>0.00%</c:formatCode>
                <c:ptCount val="1"/>
                <c:pt idx="0">
                  <c:v>7.7185017026106931E-2</c:v>
                </c:pt>
              </c:numCache>
            </c:numRef>
          </c:yVal>
          <c:smooth val="0"/>
          <c:extLst>
            <c:ext xmlns:c16="http://schemas.microsoft.com/office/drawing/2014/chart" uri="{C3380CC4-5D6E-409C-BE32-E72D297353CC}">
              <c16:uniqueId val="{00000005-1D71-4B7C-87F8-91728B12367E}"/>
            </c:ext>
          </c:extLst>
        </c:ser>
        <c:ser>
          <c:idx val="4"/>
          <c:order val="4"/>
          <c:tx>
            <c:strRef>
              <c:f>Hoja4!$A$6</c:f>
              <c:strCache>
                <c:ptCount val="1"/>
                <c:pt idx="0">
                  <c:v>Ghana</c:v>
                </c:pt>
              </c:strCache>
            </c:strRef>
          </c:tx>
          <c:spPr>
            <a:ln w="28575" cap="rnd" cmpd="sng" algn="ctr">
              <a:noFill/>
              <a:prstDash val="solid"/>
              <a:round/>
            </a:ln>
            <a:effectLst/>
          </c:spPr>
          <c:marker>
            <c:spPr>
              <a:noFill/>
              <a:ln w="9525" cap="flat" cmpd="sng" algn="ctr">
                <a:solidFill>
                  <a:schemeClr val="accent5">
                    <a:shade val="95000"/>
                    <a:satMod val="105000"/>
                  </a:schemeClr>
                </a:solidFill>
                <a:prstDash val="solid"/>
                <a:round/>
              </a:ln>
              <a:effectLst/>
            </c:spPr>
          </c:marker>
          <c:dLbls>
            <c:dLbl>
              <c:idx val="0"/>
              <c:layout>
                <c:manualLayout>
                  <c:x val="-8.6666558799259996E-2"/>
                  <c:y val="0"/>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Hoja4!$B$6</c:f>
              <c:numCache>
                <c:formatCode>0.00%</c:formatCode>
                <c:ptCount val="1"/>
                <c:pt idx="0">
                  <c:v>3.4000000000000002E-2</c:v>
                </c:pt>
              </c:numCache>
            </c:numRef>
          </c:xVal>
          <c:yVal>
            <c:numRef>
              <c:f>Hoja4!$C$6</c:f>
              <c:numCache>
                <c:formatCode>0.00%</c:formatCode>
                <c:ptCount val="1"/>
                <c:pt idx="0">
                  <c:v>5.8666666666666714E-2</c:v>
                </c:pt>
              </c:numCache>
            </c:numRef>
          </c:yVal>
          <c:smooth val="0"/>
          <c:extLst>
            <c:ext xmlns:c16="http://schemas.microsoft.com/office/drawing/2014/chart" uri="{C3380CC4-5D6E-409C-BE32-E72D297353CC}">
              <c16:uniqueId val="{00000007-1D71-4B7C-87F8-91728B12367E}"/>
            </c:ext>
          </c:extLst>
        </c:ser>
        <c:ser>
          <c:idx val="5"/>
          <c:order val="5"/>
          <c:tx>
            <c:strRef>
              <c:f>Hoja4!$A$7</c:f>
              <c:strCache>
                <c:ptCount val="1"/>
                <c:pt idx="0">
                  <c:v>India</c:v>
                </c:pt>
              </c:strCache>
            </c:strRef>
          </c:tx>
          <c:spPr>
            <a:ln w="28575" cap="rnd" cmpd="sng" algn="ctr">
              <a:noFill/>
              <a:prstDash val="solid"/>
              <a:round/>
            </a:ln>
            <a:effectLst/>
          </c:spPr>
          <c:marker>
            <c:spPr>
              <a:solidFill>
                <a:schemeClr val="accent6"/>
              </a:solidFill>
              <a:ln w="9525" cap="flat" cmpd="sng" algn="ctr">
                <a:solidFill>
                  <a:schemeClr val="accent6">
                    <a:shade val="95000"/>
                    <a:satMod val="105000"/>
                  </a:schemeClr>
                </a:solidFill>
                <a:prstDash val="solid"/>
                <a:round/>
              </a:ln>
              <a:effectLst/>
            </c:spPr>
          </c:marker>
          <c:dLbls>
            <c:dLbl>
              <c:idx val="0"/>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Hoja4!$B$7</c:f>
              <c:numCache>
                <c:formatCode>0.00%</c:formatCode>
                <c:ptCount val="1"/>
                <c:pt idx="0">
                  <c:v>0.10800000000000003</c:v>
                </c:pt>
              </c:numCache>
            </c:numRef>
          </c:xVal>
          <c:yVal>
            <c:numRef>
              <c:f>Hoja4!$C$7</c:f>
              <c:numCache>
                <c:formatCode>0.00%</c:formatCode>
                <c:ptCount val="1"/>
                <c:pt idx="0">
                  <c:v>5.2478900883218917E-2</c:v>
                </c:pt>
              </c:numCache>
            </c:numRef>
          </c:yVal>
          <c:smooth val="0"/>
          <c:extLst>
            <c:ext xmlns:c16="http://schemas.microsoft.com/office/drawing/2014/chart" uri="{C3380CC4-5D6E-409C-BE32-E72D297353CC}">
              <c16:uniqueId val="{00000009-1D71-4B7C-87F8-91728B12367E}"/>
            </c:ext>
          </c:extLst>
        </c:ser>
        <c:ser>
          <c:idx val="6"/>
          <c:order val="6"/>
          <c:tx>
            <c:strRef>
              <c:f>Hoja4!$A$8</c:f>
              <c:strCache>
                <c:ptCount val="1"/>
                <c:pt idx="0">
                  <c:v>Kenya</c:v>
                </c:pt>
              </c:strCache>
            </c:strRef>
          </c:tx>
          <c:spPr>
            <a:ln w="28575" cap="rnd" cmpd="sng" algn="ctr">
              <a:noFill/>
              <a:prstDash val="solid"/>
              <a:round/>
            </a:ln>
            <a:effectLst/>
          </c:spPr>
          <c:marker>
            <c:spPr>
              <a:noFill/>
              <a:ln w="9525" cap="flat" cmpd="sng" algn="ctr">
                <a:solidFill>
                  <a:schemeClr val="accent1">
                    <a:lumMod val="60000"/>
                    <a:shade val="95000"/>
                    <a:satMod val="105000"/>
                  </a:schemeClr>
                </a:solidFill>
                <a:prstDash val="solid"/>
                <a:round/>
              </a:ln>
              <a:effectLst/>
            </c:spPr>
          </c:marker>
          <c:dLbls>
            <c:dLbl>
              <c:idx val="0"/>
              <c:layout>
                <c:manualLayout>
                  <c:x val="-2.1015757957305207E-2"/>
                  <c:y val="-2.6600166251039108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Hoja4!$B$8</c:f>
              <c:numCache>
                <c:formatCode>0.00%</c:formatCode>
                <c:ptCount val="1"/>
                <c:pt idx="0">
                  <c:v>2.9000000000000001E-2</c:v>
                </c:pt>
              </c:numCache>
            </c:numRef>
          </c:xVal>
          <c:yVal>
            <c:numRef>
              <c:f>Hoja4!$C$8</c:f>
              <c:numCache>
                <c:formatCode>0.00%</c:formatCode>
                <c:ptCount val="1"/>
                <c:pt idx="0">
                  <c:v>6.5408805031446624E-2</c:v>
                </c:pt>
              </c:numCache>
            </c:numRef>
          </c:yVal>
          <c:smooth val="0"/>
          <c:extLst>
            <c:ext xmlns:c16="http://schemas.microsoft.com/office/drawing/2014/chart" uri="{C3380CC4-5D6E-409C-BE32-E72D297353CC}">
              <c16:uniqueId val="{0000000B-1D71-4B7C-87F8-91728B12367E}"/>
            </c:ext>
          </c:extLst>
        </c:ser>
        <c:ser>
          <c:idx val="7"/>
          <c:order val="7"/>
          <c:tx>
            <c:strRef>
              <c:f>Hoja4!$A$9</c:f>
              <c:strCache>
                <c:ptCount val="1"/>
                <c:pt idx="0">
                  <c:v>Kyrgyzstan</c:v>
                </c:pt>
              </c:strCache>
            </c:strRef>
          </c:tx>
          <c:spPr>
            <a:ln w="28575" cap="rnd" cmpd="sng" algn="ctr">
              <a:noFill/>
              <a:prstDash val="solid"/>
              <a:round/>
            </a:ln>
            <a:effectLst/>
          </c:spPr>
          <c:marker>
            <c:spPr>
              <a:solidFill>
                <a:schemeClr val="accent2">
                  <a:lumMod val="60000"/>
                </a:schemeClr>
              </a:solidFill>
              <a:ln w="9525" cap="flat" cmpd="sng" algn="ctr">
                <a:solidFill>
                  <a:schemeClr val="accent2">
                    <a:lumMod val="6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Hoja4!$B$9</c:f>
              <c:numCache>
                <c:formatCode>0.00%</c:formatCode>
                <c:ptCount val="1"/>
                <c:pt idx="0">
                  <c:v>0.111</c:v>
                </c:pt>
              </c:numCache>
            </c:numRef>
          </c:xVal>
          <c:yVal>
            <c:numRef>
              <c:f>Hoja4!$C$9</c:f>
              <c:numCache>
                <c:formatCode>0.00%</c:formatCode>
                <c:ptCount val="1"/>
                <c:pt idx="0">
                  <c:v>2.9629629629629714E-2</c:v>
                </c:pt>
              </c:numCache>
            </c:numRef>
          </c:yVal>
          <c:smooth val="0"/>
          <c:extLst>
            <c:ext xmlns:c16="http://schemas.microsoft.com/office/drawing/2014/chart" uri="{C3380CC4-5D6E-409C-BE32-E72D297353CC}">
              <c16:uniqueId val="{0000000C-1D71-4B7C-87F8-91728B12367E}"/>
            </c:ext>
          </c:extLst>
        </c:ser>
        <c:ser>
          <c:idx val="8"/>
          <c:order val="8"/>
          <c:tx>
            <c:strRef>
              <c:f>Hoja4!$A$10</c:f>
              <c:strCache>
                <c:ptCount val="1"/>
                <c:pt idx="0">
                  <c:v>Liberia</c:v>
                </c:pt>
              </c:strCache>
            </c:strRef>
          </c:tx>
          <c:spPr>
            <a:ln w="28575" cap="rnd" cmpd="sng" algn="ctr">
              <a:noFill/>
              <a:prstDash val="solid"/>
              <a:round/>
            </a:ln>
            <a:effectLst/>
          </c:spPr>
          <c:marker>
            <c:spPr>
              <a:solidFill>
                <a:schemeClr val="accent3">
                  <a:lumMod val="60000"/>
                </a:schemeClr>
              </a:solidFill>
              <a:ln w="9525" cap="flat" cmpd="sng" algn="ctr">
                <a:solidFill>
                  <a:schemeClr val="accent3">
                    <a:lumMod val="6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Hoja4!$B$10</c:f>
              <c:numCache>
                <c:formatCode>0.00%</c:formatCode>
                <c:ptCount val="1"/>
                <c:pt idx="0">
                  <c:v>3.2000000000000112E-2</c:v>
                </c:pt>
              </c:numCache>
            </c:numRef>
          </c:xVal>
          <c:yVal>
            <c:numRef>
              <c:f>Hoja4!$C$10</c:f>
              <c:numCache>
                <c:formatCode>0.00%</c:formatCode>
                <c:ptCount val="1"/>
                <c:pt idx="0">
                  <c:v>7.5000000000000094E-2</c:v>
                </c:pt>
              </c:numCache>
            </c:numRef>
          </c:yVal>
          <c:smooth val="0"/>
          <c:extLst>
            <c:ext xmlns:c16="http://schemas.microsoft.com/office/drawing/2014/chart" uri="{C3380CC4-5D6E-409C-BE32-E72D297353CC}">
              <c16:uniqueId val="{0000000D-1D71-4B7C-87F8-91728B12367E}"/>
            </c:ext>
          </c:extLst>
        </c:ser>
        <c:ser>
          <c:idx val="9"/>
          <c:order val="9"/>
          <c:tx>
            <c:strRef>
              <c:f>Hoja4!$A$11</c:f>
              <c:strCache>
                <c:ptCount val="1"/>
                <c:pt idx="0">
                  <c:v>Malawi</c:v>
                </c:pt>
              </c:strCache>
            </c:strRef>
          </c:tx>
          <c:spPr>
            <a:ln w="28575" cap="rnd" cmpd="sng" algn="ctr">
              <a:noFill/>
              <a:prstDash val="solid"/>
              <a:round/>
            </a:ln>
            <a:effectLst/>
          </c:spPr>
          <c:marker>
            <c:spPr>
              <a:solidFill>
                <a:schemeClr val="accent4">
                  <a:lumMod val="60000"/>
                </a:schemeClr>
              </a:solidFill>
              <a:ln w="9525" cap="flat" cmpd="sng" algn="ctr">
                <a:solidFill>
                  <a:schemeClr val="accent4">
                    <a:lumMod val="60000"/>
                    <a:shade val="95000"/>
                    <a:satMod val="105000"/>
                  </a:schemeClr>
                </a:solidFill>
                <a:prstDash val="solid"/>
                <a:round/>
              </a:ln>
              <a:effectLst/>
            </c:spPr>
          </c:marker>
          <c:dLbls>
            <c:dLbl>
              <c:idx val="0"/>
              <c:layout>
                <c:manualLayout>
                  <c:x val="-8.8733200264177206E-2"/>
                  <c:y val="3.3250207813798911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E-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Hoja4!$B$11</c:f>
              <c:numCache>
                <c:formatCode>0.00%</c:formatCode>
                <c:ptCount val="1"/>
                <c:pt idx="0">
                  <c:v>1.7000000000000001E-2</c:v>
                </c:pt>
              </c:numCache>
            </c:numRef>
          </c:xVal>
          <c:yVal>
            <c:numRef>
              <c:f>Hoja4!$C$11</c:f>
              <c:numCache>
                <c:formatCode>0.00%</c:formatCode>
                <c:ptCount val="1"/>
                <c:pt idx="0">
                  <c:v>4.833333333333352E-2</c:v>
                </c:pt>
              </c:numCache>
            </c:numRef>
          </c:yVal>
          <c:smooth val="0"/>
          <c:extLst>
            <c:ext xmlns:c16="http://schemas.microsoft.com/office/drawing/2014/chart" uri="{C3380CC4-5D6E-409C-BE32-E72D297353CC}">
              <c16:uniqueId val="{0000000F-1D71-4B7C-87F8-91728B12367E}"/>
            </c:ext>
          </c:extLst>
        </c:ser>
        <c:ser>
          <c:idx val="10"/>
          <c:order val="10"/>
          <c:tx>
            <c:strRef>
              <c:f>Hoja4!$A$12</c:f>
              <c:strCache>
                <c:ptCount val="1"/>
                <c:pt idx="0">
                  <c:v>Mozambique</c:v>
                </c:pt>
              </c:strCache>
            </c:strRef>
          </c:tx>
          <c:spPr>
            <a:ln w="28575" cap="rnd" cmpd="sng" algn="ctr">
              <a:noFill/>
              <a:prstDash val="solid"/>
              <a:round/>
            </a:ln>
            <a:effectLst/>
          </c:spPr>
          <c:marker>
            <c:spPr>
              <a:solidFill>
                <a:schemeClr val="accent5">
                  <a:lumMod val="60000"/>
                </a:schemeClr>
              </a:solidFill>
              <a:ln w="9525" cap="flat" cmpd="sng" algn="ctr">
                <a:solidFill>
                  <a:schemeClr val="accent5">
                    <a:lumMod val="60000"/>
                    <a:shade val="95000"/>
                    <a:satMod val="105000"/>
                  </a:schemeClr>
                </a:solidFill>
                <a:prstDash val="solid"/>
                <a:round/>
              </a:ln>
              <a:effectLst/>
            </c:spPr>
          </c:marker>
          <c:dLbls>
            <c:dLbl>
              <c:idx val="0"/>
              <c:layout>
                <c:manualLayout>
                  <c:x val="-1.6345589522348401E-2"/>
                  <c:y val="-1.995012468827940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0-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Hoja4!$B$12</c:f>
              <c:numCache>
                <c:formatCode>0.00%</c:formatCode>
                <c:ptCount val="1"/>
                <c:pt idx="0">
                  <c:v>2.8000000000000001E-2</c:v>
                </c:pt>
              </c:numCache>
            </c:numRef>
          </c:xVal>
          <c:yVal>
            <c:numRef>
              <c:f>Hoja4!$C$12</c:f>
              <c:numCache>
                <c:formatCode>0.00%</c:formatCode>
                <c:ptCount val="1"/>
                <c:pt idx="0">
                  <c:v>7.490636704119874E-2</c:v>
                </c:pt>
              </c:numCache>
            </c:numRef>
          </c:yVal>
          <c:smooth val="0"/>
          <c:extLst>
            <c:ext xmlns:c16="http://schemas.microsoft.com/office/drawing/2014/chart" uri="{C3380CC4-5D6E-409C-BE32-E72D297353CC}">
              <c16:uniqueId val="{00000011-1D71-4B7C-87F8-91728B12367E}"/>
            </c:ext>
          </c:extLst>
        </c:ser>
        <c:ser>
          <c:idx val="11"/>
          <c:order val="11"/>
          <c:tx>
            <c:strRef>
              <c:f>Hoja4!$A$13</c:f>
              <c:strCache>
                <c:ptCount val="1"/>
                <c:pt idx="0">
                  <c:v>Myanmar</c:v>
                </c:pt>
              </c:strCache>
            </c:strRef>
          </c:tx>
          <c:spPr>
            <a:ln w="28575" cap="rnd" cmpd="sng" algn="ctr">
              <a:noFill/>
              <a:prstDash val="solid"/>
              <a:round/>
            </a:ln>
            <a:effectLst/>
          </c:spPr>
          <c:marker>
            <c:spPr>
              <a:solidFill>
                <a:schemeClr val="accent6">
                  <a:lumMod val="60000"/>
                </a:schemeClr>
              </a:solidFill>
              <a:ln w="9525" cap="flat" cmpd="sng" algn="ctr">
                <a:solidFill>
                  <a:schemeClr val="accent6">
                    <a:lumMod val="6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Hoja4!$B$13</c:f>
              <c:numCache>
                <c:formatCode>0.00%</c:formatCode>
                <c:ptCount val="1"/>
                <c:pt idx="0">
                  <c:v>6.2000000000000104E-2</c:v>
                </c:pt>
              </c:numCache>
            </c:numRef>
          </c:xVal>
          <c:yVal>
            <c:numRef>
              <c:f>Hoja4!$C$13</c:f>
              <c:numCache>
                <c:formatCode>0.00%</c:formatCode>
                <c:ptCount val="1"/>
                <c:pt idx="0">
                  <c:v>6.9684210526315904E-2</c:v>
                </c:pt>
              </c:numCache>
            </c:numRef>
          </c:yVal>
          <c:smooth val="0"/>
          <c:extLst>
            <c:ext xmlns:c16="http://schemas.microsoft.com/office/drawing/2014/chart" uri="{C3380CC4-5D6E-409C-BE32-E72D297353CC}">
              <c16:uniqueId val="{00000012-1D71-4B7C-87F8-91728B12367E}"/>
            </c:ext>
          </c:extLst>
        </c:ser>
        <c:ser>
          <c:idx val="12"/>
          <c:order val="12"/>
          <c:tx>
            <c:strRef>
              <c:f>Hoja4!$A$14</c:f>
              <c:strCache>
                <c:ptCount val="1"/>
                <c:pt idx="0">
                  <c:v>Nepal</c:v>
                </c:pt>
              </c:strCache>
            </c:strRef>
          </c:tx>
          <c:spPr>
            <a:ln w="28575" cap="rnd" cmpd="sng" algn="ctr">
              <a:noFill/>
              <a:prstDash val="solid"/>
              <a:round/>
            </a:ln>
            <a:effectLst/>
          </c:spPr>
          <c:marker>
            <c:spPr>
              <a:noFill/>
              <a:ln w="9525" cap="flat" cmpd="sng" algn="ctr">
                <a:solidFill>
                  <a:schemeClr val="accent1">
                    <a:lumMod val="80000"/>
                    <a:lumOff val="20000"/>
                    <a:shade val="95000"/>
                    <a:satMod val="105000"/>
                  </a:schemeClr>
                </a:solidFill>
                <a:prstDash val="solid"/>
                <a:round/>
              </a:ln>
              <a:effectLst/>
            </c:spPr>
          </c:marker>
          <c:dLbls>
            <c:dLbl>
              <c:idx val="0"/>
              <c:layout>
                <c:manualLayout>
                  <c:x val="0"/>
                  <c:y val="-3.9900249376558602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3-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Hoja4!$B$14</c:f>
              <c:numCache>
                <c:formatCode>0.00%</c:formatCode>
                <c:ptCount val="1"/>
                <c:pt idx="0">
                  <c:v>3.6999999999999998E-2</c:v>
                </c:pt>
              </c:numCache>
            </c:numRef>
          </c:xVal>
          <c:yVal>
            <c:numRef>
              <c:f>Hoja4!$C$14</c:f>
              <c:numCache>
                <c:formatCode>0.00%</c:formatCode>
                <c:ptCount val="1"/>
                <c:pt idx="0">
                  <c:v>6.1428571428571499E-2</c:v>
                </c:pt>
              </c:numCache>
            </c:numRef>
          </c:yVal>
          <c:smooth val="0"/>
          <c:extLst>
            <c:ext xmlns:c16="http://schemas.microsoft.com/office/drawing/2014/chart" uri="{C3380CC4-5D6E-409C-BE32-E72D297353CC}">
              <c16:uniqueId val="{00000014-1D71-4B7C-87F8-91728B12367E}"/>
            </c:ext>
          </c:extLst>
        </c:ser>
        <c:ser>
          <c:idx val="13"/>
          <c:order val="13"/>
          <c:tx>
            <c:strRef>
              <c:f>Hoja4!$A$15</c:f>
              <c:strCache>
                <c:ptCount val="1"/>
                <c:pt idx="0">
                  <c:v>Nigeria</c:v>
                </c:pt>
              </c:strCache>
            </c:strRef>
          </c:tx>
          <c:spPr>
            <a:ln w="28575" cap="rnd" cmpd="sng" algn="ctr">
              <a:noFill/>
              <a:prstDash val="solid"/>
              <a:round/>
            </a:ln>
            <a:effectLst/>
          </c:spPr>
          <c:marker>
            <c:spPr>
              <a:noFill/>
              <a:ln w="9525" cap="flat" cmpd="sng" algn="ctr">
                <a:solidFill>
                  <a:schemeClr val="accent2">
                    <a:lumMod val="80000"/>
                    <a:lumOff val="2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Hoja4!$B$15</c:f>
              <c:numCache>
                <c:formatCode>0.00%</c:formatCode>
                <c:ptCount val="1"/>
                <c:pt idx="0">
                  <c:v>1.7000000000000001E-2</c:v>
                </c:pt>
              </c:numCache>
            </c:numRef>
          </c:xVal>
          <c:yVal>
            <c:numRef>
              <c:f>Hoja4!$C$15</c:f>
              <c:numCache>
                <c:formatCode>0.00%</c:formatCode>
                <c:ptCount val="1"/>
                <c:pt idx="0">
                  <c:v>5.2655367231638502E-2</c:v>
                </c:pt>
              </c:numCache>
            </c:numRef>
          </c:yVal>
          <c:smooth val="0"/>
          <c:extLst>
            <c:ext xmlns:c16="http://schemas.microsoft.com/office/drawing/2014/chart" uri="{C3380CC4-5D6E-409C-BE32-E72D297353CC}">
              <c16:uniqueId val="{00000015-1D71-4B7C-87F8-91728B12367E}"/>
            </c:ext>
          </c:extLst>
        </c:ser>
        <c:ser>
          <c:idx val="14"/>
          <c:order val="14"/>
          <c:tx>
            <c:strRef>
              <c:f>Hoja4!$A$16</c:f>
              <c:strCache>
                <c:ptCount val="1"/>
                <c:pt idx="0">
                  <c:v>Pakistan</c:v>
                </c:pt>
              </c:strCache>
            </c:strRef>
          </c:tx>
          <c:spPr>
            <a:ln w="28575" cap="rnd" cmpd="sng" algn="ctr">
              <a:noFill/>
              <a:prstDash val="solid"/>
              <a:round/>
            </a:ln>
            <a:effectLst/>
          </c:spPr>
          <c:marker>
            <c:spPr>
              <a:solidFill>
                <a:schemeClr val="accent3">
                  <a:lumMod val="80000"/>
                  <a:lumOff val="20000"/>
                </a:schemeClr>
              </a:solidFill>
              <a:ln w="9525" cap="flat" cmpd="sng" algn="ctr">
                <a:solidFill>
                  <a:schemeClr val="accent3">
                    <a:lumMod val="80000"/>
                    <a:lumOff val="2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Hoja4!$B$16</c:f>
              <c:numCache>
                <c:formatCode>0.00%</c:formatCode>
                <c:ptCount val="1"/>
                <c:pt idx="0">
                  <c:v>7.3000000000000009E-2</c:v>
                </c:pt>
              </c:numCache>
            </c:numRef>
          </c:xVal>
          <c:yVal>
            <c:numRef>
              <c:f>Hoja4!$C$16</c:f>
              <c:numCache>
                <c:formatCode>0.00%</c:formatCode>
                <c:ptCount val="1"/>
                <c:pt idx="0">
                  <c:v>5.3960716598316513E-2</c:v>
                </c:pt>
              </c:numCache>
            </c:numRef>
          </c:yVal>
          <c:smooth val="0"/>
          <c:extLst>
            <c:ext xmlns:c16="http://schemas.microsoft.com/office/drawing/2014/chart" uri="{C3380CC4-5D6E-409C-BE32-E72D297353CC}">
              <c16:uniqueId val="{00000016-1D71-4B7C-87F8-91728B12367E}"/>
            </c:ext>
          </c:extLst>
        </c:ser>
        <c:ser>
          <c:idx val="15"/>
          <c:order val="15"/>
          <c:tx>
            <c:strRef>
              <c:f>Hoja4!$A$17</c:f>
              <c:strCache>
                <c:ptCount val="1"/>
                <c:pt idx="0">
                  <c:v>Rwanda</c:v>
                </c:pt>
              </c:strCache>
            </c:strRef>
          </c:tx>
          <c:spPr>
            <a:ln w="28575" cap="rnd" cmpd="sng" algn="ctr">
              <a:noFill/>
              <a:prstDash val="solid"/>
              <a:round/>
            </a:ln>
            <a:effectLst/>
          </c:spPr>
          <c:marker>
            <c:spPr>
              <a:noFill/>
              <a:ln w="9525" cap="flat" cmpd="sng" algn="ctr">
                <a:solidFill>
                  <a:schemeClr val="accent4">
                    <a:lumMod val="80000"/>
                    <a:lumOff val="20000"/>
                    <a:shade val="95000"/>
                    <a:satMod val="105000"/>
                  </a:schemeClr>
                </a:solidFill>
                <a:prstDash val="solid"/>
                <a:round/>
              </a:ln>
              <a:effectLst/>
            </c:spPr>
          </c:marker>
          <c:dLbls>
            <c:dLbl>
              <c:idx val="0"/>
              <c:layout>
                <c:manualLayout>
                  <c:x val="0"/>
                  <c:y val="9.9750623441397044E-3"/>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7-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Hoja4!$B$17</c:f>
              <c:numCache>
                <c:formatCode>0.00%</c:formatCode>
                <c:ptCount val="1"/>
                <c:pt idx="0">
                  <c:v>3.7999999999999999E-2</c:v>
                </c:pt>
              </c:numCache>
            </c:numRef>
          </c:xVal>
          <c:yVal>
            <c:numRef>
              <c:f>Hoja4!$C$17</c:f>
              <c:numCache>
                <c:formatCode>0.00%</c:formatCode>
                <c:ptCount val="1"/>
                <c:pt idx="0">
                  <c:v>6.548672566371691E-2</c:v>
                </c:pt>
              </c:numCache>
            </c:numRef>
          </c:yVal>
          <c:smooth val="0"/>
          <c:extLst>
            <c:ext xmlns:c16="http://schemas.microsoft.com/office/drawing/2014/chart" uri="{C3380CC4-5D6E-409C-BE32-E72D297353CC}">
              <c16:uniqueId val="{00000018-1D71-4B7C-87F8-91728B12367E}"/>
            </c:ext>
          </c:extLst>
        </c:ser>
        <c:ser>
          <c:idx val="16"/>
          <c:order val="16"/>
          <c:tx>
            <c:strRef>
              <c:f>Hoja4!$A$18</c:f>
              <c:strCache>
                <c:ptCount val="1"/>
                <c:pt idx="0">
                  <c:v>Sierra Leone</c:v>
                </c:pt>
              </c:strCache>
            </c:strRef>
          </c:tx>
          <c:spPr>
            <a:ln w="28575" cap="rnd" cmpd="sng" algn="ctr">
              <a:noFill/>
              <a:prstDash val="solid"/>
              <a:round/>
            </a:ln>
            <a:effectLst/>
          </c:spPr>
          <c:marker>
            <c:spPr>
              <a:solidFill>
                <a:schemeClr val="accent5">
                  <a:lumMod val="80000"/>
                  <a:lumOff val="20000"/>
                </a:schemeClr>
              </a:solidFill>
              <a:ln w="9525" cap="flat" cmpd="sng" algn="ctr">
                <a:solidFill>
                  <a:schemeClr val="accent5">
                    <a:lumMod val="80000"/>
                    <a:lumOff val="20000"/>
                    <a:shade val="95000"/>
                    <a:satMod val="105000"/>
                  </a:schemeClr>
                </a:solidFill>
                <a:prstDash val="solid"/>
                <a:round/>
              </a:ln>
              <a:effectLst/>
            </c:spPr>
          </c:marker>
          <c:dLbls>
            <c:dLbl>
              <c:idx val="0"/>
              <c:layout>
                <c:manualLayout>
                  <c:x val="-0.12249851804891403"/>
                  <c:y val="-1.9950124688279409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9-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Hoja4!$B$18</c:f>
              <c:numCache>
                <c:formatCode>0.00%</c:formatCode>
                <c:ptCount val="1"/>
                <c:pt idx="0">
                  <c:v>2.5000000000000001E-2</c:v>
                </c:pt>
              </c:numCache>
            </c:numRef>
          </c:xVal>
          <c:yVal>
            <c:numRef>
              <c:f>Hoja4!$C$18</c:f>
              <c:numCache>
                <c:formatCode>0.00%</c:formatCode>
                <c:ptCount val="1"/>
                <c:pt idx="0">
                  <c:v>6.6666666666666693E-2</c:v>
                </c:pt>
              </c:numCache>
            </c:numRef>
          </c:yVal>
          <c:smooth val="0"/>
          <c:extLst>
            <c:ext xmlns:c16="http://schemas.microsoft.com/office/drawing/2014/chart" uri="{C3380CC4-5D6E-409C-BE32-E72D297353CC}">
              <c16:uniqueId val="{0000001A-1D71-4B7C-87F8-91728B12367E}"/>
            </c:ext>
          </c:extLst>
        </c:ser>
        <c:ser>
          <c:idx val="17"/>
          <c:order val="17"/>
          <c:tx>
            <c:strRef>
              <c:f>Hoja4!$A$19</c:f>
              <c:strCache>
                <c:ptCount val="1"/>
                <c:pt idx="0">
                  <c:v>South Africa</c:v>
                </c:pt>
              </c:strCache>
            </c:strRef>
          </c:tx>
          <c:spPr>
            <a:ln w="28575" cap="rnd" cmpd="sng" algn="ctr">
              <a:noFill/>
              <a:prstDash val="solid"/>
              <a:round/>
            </a:ln>
            <a:effectLst/>
          </c:spPr>
          <c:marker>
            <c:spPr>
              <a:solidFill>
                <a:schemeClr val="accent6">
                  <a:lumMod val="80000"/>
                  <a:lumOff val="20000"/>
                </a:schemeClr>
              </a:solidFill>
              <a:ln w="9525" cap="flat" cmpd="sng" algn="ctr">
                <a:solidFill>
                  <a:schemeClr val="accent6">
                    <a:lumMod val="80000"/>
                    <a:lumOff val="2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Hoja4!$B$19</c:f>
              <c:numCache>
                <c:formatCode>0.00%</c:formatCode>
                <c:ptCount val="1"/>
                <c:pt idx="0">
                  <c:v>6.4000000000000112E-2</c:v>
                </c:pt>
              </c:numCache>
            </c:numRef>
          </c:xVal>
          <c:yVal>
            <c:numRef>
              <c:f>Hoja4!$C$19</c:f>
              <c:numCache>
                <c:formatCode>0.00%</c:formatCode>
                <c:ptCount val="1"/>
                <c:pt idx="0">
                  <c:v>1.4361140443505801E-2</c:v>
                </c:pt>
              </c:numCache>
            </c:numRef>
          </c:yVal>
          <c:smooth val="0"/>
          <c:extLst>
            <c:ext xmlns:c16="http://schemas.microsoft.com/office/drawing/2014/chart" uri="{C3380CC4-5D6E-409C-BE32-E72D297353CC}">
              <c16:uniqueId val="{0000001B-1D71-4B7C-87F8-91728B12367E}"/>
            </c:ext>
          </c:extLst>
        </c:ser>
        <c:ser>
          <c:idx val="18"/>
          <c:order val="18"/>
          <c:tx>
            <c:strRef>
              <c:f>Hoja4!$A$20</c:f>
              <c:strCache>
                <c:ptCount val="1"/>
                <c:pt idx="0">
                  <c:v>Sudan</c:v>
                </c:pt>
              </c:strCache>
            </c:strRef>
          </c:tx>
          <c:spPr>
            <a:ln w="28575" cap="rnd" cmpd="sng" algn="ctr">
              <a:noFill/>
              <a:prstDash val="solid"/>
              <a:round/>
            </a:ln>
            <a:effectLst/>
          </c:spPr>
          <c:marker>
            <c:spPr>
              <a:solidFill>
                <a:schemeClr val="accent1">
                  <a:lumMod val="80000"/>
                </a:schemeClr>
              </a:solidFill>
              <a:ln w="9525" cap="flat" cmpd="sng" algn="ctr">
                <a:solidFill>
                  <a:schemeClr val="accent1">
                    <a:lumMod val="80000"/>
                    <a:shade val="95000"/>
                    <a:satMod val="105000"/>
                  </a:schemeClr>
                </a:solidFill>
                <a:prstDash val="solid"/>
                <a:round/>
              </a:ln>
              <a:effectLst/>
            </c:spPr>
          </c:marker>
          <c:dLbls>
            <c:dLbl>
              <c:idx val="0"/>
              <c:layout>
                <c:manualLayout>
                  <c:x val="-7.0052526524350504E-3"/>
                  <c:y val="6.6500415627597717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C-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Hoja4!$B$20</c:f>
              <c:numCache>
                <c:formatCode>0.00%</c:formatCode>
                <c:ptCount val="1"/>
                <c:pt idx="0">
                  <c:v>5.2000000000000116E-2</c:v>
                </c:pt>
              </c:numCache>
            </c:numRef>
          </c:xVal>
          <c:yVal>
            <c:numRef>
              <c:f>Hoja4!$C$20</c:f>
              <c:numCache>
                <c:formatCode>0.00%</c:formatCode>
                <c:ptCount val="1"/>
                <c:pt idx="0">
                  <c:v>5.7142857142857197E-2</c:v>
                </c:pt>
              </c:numCache>
            </c:numRef>
          </c:yVal>
          <c:smooth val="0"/>
          <c:extLst>
            <c:ext xmlns:c16="http://schemas.microsoft.com/office/drawing/2014/chart" uri="{C3380CC4-5D6E-409C-BE32-E72D297353CC}">
              <c16:uniqueId val="{0000001D-1D71-4B7C-87F8-91728B12367E}"/>
            </c:ext>
          </c:extLst>
        </c:ser>
        <c:ser>
          <c:idx val="19"/>
          <c:order val="19"/>
          <c:tx>
            <c:strRef>
              <c:f>Hoja4!$A$21</c:f>
              <c:strCache>
                <c:ptCount val="1"/>
                <c:pt idx="0">
                  <c:v>Tajikistan</c:v>
                </c:pt>
              </c:strCache>
            </c:strRef>
          </c:tx>
          <c:spPr>
            <a:ln w="28575" cap="rnd" cmpd="sng" algn="ctr">
              <a:noFill/>
              <a:prstDash val="solid"/>
              <a:round/>
            </a:ln>
            <a:effectLst/>
          </c:spPr>
          <c:marker>
            <c:spPr>
              <a:solidFill>
                <a:schemeClr val="accent2">
                  <a:lumMod val="80000"/>
                </a:schemeClr>
              </a:solidFill>
              <a:ln w="9525" cap="flat" cmpd="sng" algn="ctr">
                <a:solidFill>
                  <a:schemeClr val="accent2">
                    <a:lumMod val="8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Hoja4!$B$21</c:f>
              <c:numCache>
                <c:formatCode>0.00%</c:formatCode>
                <c:ptCount val="1"/>
                <c:pt idx="0">
                  <c:v>7.6000000000000109E-2</c:v>
                </c:pt>
              </c:numCache>
            </c:numRef>
          </c:xVal>
          <c:yVal>
            <c:numRef>
              <c:f>Hoja4!$C$21</c:f>
              <c:numCache>
                <c:formatCode>0.00%</c:formatCode>
                <c:ptCount val="1"/>
                <c:pt idx="0">
                  <c:v>4.2400000000000014E-2</c:v>
                </c:pt>
              </c:numCache>
            </c:numRef>
          </c:yVal>
          <c:smooth val="0"/>
          <c:extLst>
            <c:ext xmlns:c16="http://schemas.microsoft.com/office/drawing/2014/chart" uri="{C3380CC4-5D6E-409C-BE32-E72D297353CC}">
              <c16:uniqueId val="{0000001E-1D71-4B7C-87F8-91728B12367E}"/>
            </c:ext>
          </c:extLst>
        </c:ser>
        <c:ser>
          <c:idx val="20"/>
          <c:order val="20"/>
          <c:tx>
            <c:strRef>
              <c:f>Hoja4!$A$22</c:f>
              <c:strCache>
                <c:ptCount val="1"/>
                <c:pt idx="0">
                  <c:v>Tanzania</c:v>
                </c:pt>
              </c:strCache>
            </c:strRef>
          </c:tx>
          <c:spPr>
            <a:ln w="28575" cap="rnd" cmpd="sng" algn="ctr">
              <a:noFill/>
              <a:prstDash val="solid"/>
              <a:round/>
            </a:ln>
            <a:effectLst/>
          </c:spPr>
          <c:marker>
            <c:spPr>
              <a:solidFill>
                <a:schemeClr val="accent3">
                  <a:lumMod val="80000"/>
                </a:schemeClr>
              </a:solidFill>
              <a:ln w="9525" cap="flat" cmpd="sng" algn="ctr">
                <a:solidFill>
                  <a:schemeClr val="accent3">
                    <a:lumMod val="80000"/>
                    <a:shade val="95000"/>
                    <a:satMod val="105000"/>
                  </a:schemeClr>
                </a:solidFill>
                <a:prstDash val="solid"/>
                <a:round/>
              </a:ln>
              <a:effectLst/>
            </c:spPr>
          </c:marker>
          <c:dLbls>
            <c:dLbl>
              <c:idx val="0"/>
              <c:layout>
                <c:manualLayout>
                  <c:x val="-0.10226492137201504"/>
                  <c:y val="-6.0958010133164402E-17"/>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F-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Hoja4!$B$22</c:f>
              <c:numCache>
                <c:formatCode>0.00%</c:formatCode>
                <c:ptCount val="1"/>
                <c:pt idx="0">
                  <c:v>1.4E-2</c:v>
                </c:pt>
              </c:numCache>
            </c:numRef>
          </c:xVal>
          <c:yVal>
            <c:numRef>
              <c:f>Hoja4!$C$22</c:f>
              <c:numCache>
                <c:formatCode>0.00%</c:formatCode>
                <c:ptCount val="1"/>
                <c:pt idx="0">
                  <c:v>5.8381502890173402E-2</c:v>
                </c:pt>
              </c:numCache>
            </c:numRef>
          </c:yVal>
          <c:smooth val="0"/>
          <c:extLst>
            <c:ext xmlns:c16="http://schemas.microsoft.com/office/drawing/2014/chart" uri="{C3380CC4-5D6E-409C-BE32-E72D297353CC}">
              <c16:uniqueId val="{00000020-1D71-4B7C-87F8-91728B12367E}"/>
            </c:ext>
          </c:extLst>
        </c:ser>
        <c:ser>
          <c:idx val="21"/>
          <c:order val="21"/>
          <c:tx>
            <c:strRef>
              <c:f>Hoja4!$A$23</c:f>
              <c:strCache>
                <c:ptCount val="1"/>
                <c:pt idx="0">
                  <c:v>Uganda</c:v>
                </c:pt>
              </c:strCache>
            </c:strRef>
          </c:tx>
          <c:spPr>
            <a:ln w="28575" cap="rnd" cmpd="sng" algn="ctr">
              <a:noFill/>
              <a:prstDash val="solid"/>
              <a:round/>
            </a:ln>
            <a:effectLst/>
          </c:spPr>
          <c:marker>
            <c:spPr>
              <a:noFill/>
              <a:ln w="9525" cap="flat" cmpd="sng" algn="ctr">
                <a:solidFill>
                  <a:schemeClr val="accent4">
                    <a:lumMod val="8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Hoja4!$B$23</c:f>
              <c:numCache>
                <c:formatCode>0.00%</c:formatCode>
                <c:ptCount val="1"/>
                <c:pt idx="0">
                  <c:v>1.9000000000000006E-2</c:v>
                </c:pt>
              </c:numCache>
            </c:numRef>
          </c:xVal>
          <c:yVal>
            <c:numRef>
              <c:f>Hoja4!$C$23</c:f>
              <c:numCache>
                <c:formatCode>0.00%</c:formatCode>
                <c:ptCount val="1"/>
                <c:pt idx="0">
                  <c:v>9.8932384341637231E-2</c:v>
                </c:pt>
              </c:numCache>
            </c:numRef>
          </c:yVal>
          <c:smooth val="0"/>
          <c:extLst>
            <c:ext xmlns:c16="http://schemas.microsoft.com/office/drawing/2014/chart" uri="{C3380CC4-5D6E-409C-BE32-E72D297353CC}">
              <c16:uniqueId val="{00000021-1D71-4B7C-87F8-91728B12367E}"/>
            </c:ext>
          </c:extLst>
        </c:ser>
        <c:ser>
          <c:idx val="22"/>
          <c:order val="22"/>
          <c:tx>
            <c:strRef>
              <c:f>Hoja4!$A$24</c:f>
              <c:strCache>
                <c:ptCount val="1"/>
                <c:pt idx="0">
                  <c:v>West Bank and Gaza Strip</c:v>
                </c:pt>
              </c:strCache>
            </c:strRef>
          </c:tx>
          <c:spPr>
            <a:ln w="28575" cap="rnd" cmpd="sng" algn="ctr">
              <a:noFill/>
              <a:prstDash val="solid"/>
              <a:round/>
            </a:ln>
            <a:effectLst/>
          </c:spPr>
          <c:marker>
            <c:spPr>
              <a:noFill/>
              <a:ln w="9525" cap="flat" cmpd="sng" algn="ctr">
                <a:solidFill>
                  <a:schemeClr val="accent5">
                    <a:lumMod val="80000"/>
                    <a:shade val="95000"/>
                    <a:satMod val="105000"/>
                  </a:schemeClr>
                </a:solidFill>
                <a:prstDash val="solid"/>
                <a:round/>
              </a:ln>
              <a:effectLst/>
            </c:spPr>
          </c:marker>
          <c:dLbls>
            <c:dLbl>
              <c:idx val="0"/>
              <c:layout>
                <c:manualLayout>
                  <c:x val="0"/>
                  <c:y val="-2.3275145469659423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2-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Hoja4!$B$24</c:f>
              <c:numCache>
                <c:formatCode>0.00%</c:formatCode>
                <c:ptCount val="1"/>
                <c:pt idx="0">
                  <c:v>0.15900000000000006</c:v>
                </c:pt>
              </c:numCache>
            </c:numRef>
          </c:xVal>
          <c:yVal>
            <c:numRef>
              <c:f>Hoja4!$C$24</c:f>
              <c:numCache>
                <c:formatCode>0.00%</c:formatCode>
                <c:ptCount val="1"/>
                <c:pt idx="0">
                  <c:v>6.4615384615384699E-2</c:v>
                </c:pt>
              </c:numCache>
            </c:numRef>
          </c:yVal>
          <c:smooth val="0"/>
          <c:extLst>
            <c:ext xmlns:c16="http://schemas.microsoft.com/office/drawing/2014/chart" uri="{C3380CC4-5D6E-409C-BE32-E72D297353CC}">
              <c16:uniqueId val="{00000023-1D71-4B7C-87F8-91728B12367E}"/>
            </c:ext>
          </c:extLst>
        </c:ser>
        <c:ser>
          <c:idx val="24"/>
          <c:order val="23"/>
          <c:tx>
            <c:strRef>
              <c:f>Hoja4!$A$26</c:f>
              <c:strCache>
                <c:ptCount val="1"/>
                <c:pt idx="0">
                  <c:v>Yemen</c:v>
                </c:pt>
              </c:strCache>
            </c:strRef>
          </c:tx>
          <c:spPr>
            <a:ln w="28575" cap="rnd" cmpd="sng" algn="ctr">
              <a:noFill/>
              <a:prstDash val="solid"/>
              <a:round/>
            </a:ln>
            <a:effectLst/>
          </c:spPr>
          <c:marker>
            <c:spPr>
              <a:noFill/>
              <a:ln w="9525" cap="flat" cmpd="sng" algn="ctr">
                <a:solidFill>
                  <a:schemeClr val="accent1">
                    <a:lumMod val="60000"/>
                    <a:lumOff val="4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Hoja4!$B$26</c:f>
              <c:numCache>
                <c:formatCode>0.00%</c:formatCode>
                <c:ptCount val="1"/>
                <c:pt idx="0">
                  <c:v>9.8000000000000226E-2</c:v>
                </c:pt>
              </c:numCache>
            </c:numRef>
          </c:xVal>
          <c:yVal>
            <c:numRef>
              <c:f>Hoja4!$C$26</c:f>
              <c:numCache>
                <c:formatCode>0.00%</c:formatCode>
                <c:ptCount val="1"/>
                <c:pt idx="0">
                  <c:v>7.3825503355704702E-2</c:v>
                </c:pt>
              </c:numCache>
            </c:numRef>
          </c:yVal>
          <c:smooth val="0"/>
          <c:extLst>
            <c:ext xmlns:c16="http://schemas.microsoft.com/office/drawing/2014/chart" uri="{C3380CC4-5D6E-409C-BE32-E72D297353CC}">
              <c16:uniqueId val="{00000024-1D71-4B7C-87F8-91728B12367E}"/>
            </c:ext>
          </c:extLst>
        </c:ser>
        <c:ser>
          <c:idx val="25"/>
          <c:order val="24"/>
          <c:tx>
            <c:strRef>
              <c:f>Hoja4!$A$27</c:f>
              <c:strCache>
                <c:ptCount val="1"/>
                <c:pt idx="0">
                  <c:v>Zambia</c:v>
                </c:pt>
              </c:strCache>
            </c:strRef>
          </c:tx>
          <c:spPr>
            <a:ln w="28575" cap="rnd" cmpd="sng" algn="ctr">
              <a:noFill/>
              <a:prstDash val="solid"/>
              <a:round/>
            </a:ln>
            <a:effectLst/>
          </c:spPr>
          <c:marker>
            <c:spPr>
              <a:solidFill>
                <a:schemeClr val="accent2">
                  <a:lumMod val="60000"/>
                  <a:lumOff val="40000"/>
                </a:schemeClr>
              </a:solidFill>
              <a:ln w="9525" cap="flat" cmpd="sng" algn="ctr">
                <a:solidFill>
                  <a:schemeClr val="accent2">
                    <a:lumMod val="60000"/>
                    <a:lumOff val="40000"/>
                    <a:shade val="95000"/>
                    <a:satMod val="105000"/>
                  </a:schemeClr>
                </a:solidFill>
                <a:prstDash val="solid"/>
                <a:round/>
              </a:ln>
              <a:effectLst/>
            </c:spPr>
          </c:marker>
          <c:dLbls>
            <c:dLbl>
              <c:idx val="0"/>
              <c:layout>
                <c:manualLayout>
                  <c:x val="-2.1015757957305207E-2"/>
                  <c:y val="3.3250207813798803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5-1D71-4B7C-87F8-91728B1236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Hoja4!$B$27</c:f>
              <c:numCache>
                <c:formatCode>0.00%</c:formatCode>
                <c:ptCount val="1"/>
                <c:pt idx="0">
                  <c:v>3.9000000000000014E-2</c:v>
                </c:pt>
              </c:numCache>
            </c:numRef>
          </c:xVal>
          <c:yVal>
            <c:numRef>
              <c:f>Hoja4!$C$27</c:f>
              <c:numCache>
                <c:formatCode>0.00%</c:formatCode>
                <c:ptCount val="1"/>
                <c:pt idx="0">
                  <c:v>6.3849765258216007E-2</c:v>
                </c:pt>
              </c:numCache>
            </c:numRef>
          </c:yVal>
          <c:smooth val="0"/>
          <c:extLst>
            <c:ext xmlns:c16="http://schemas.microsoft.com/office/drawing/2014/chart" uri="{C3380CC4-5D6E-409C-BE32-E72D297353CC}">
              <c16:uniqueId val="{00000026-1D71-4B7C-87F8-91728B12367E}"/>
            </c:ext>
          </c:extLst>
        </c:ser>
        <c:dLbls>
          <c:showLegendKey val="0"/>
          <c:showVal val="1"/>
          <c:showCatName val="0"/>
          <c:showSerName val="0"/>
          <c:showPercent val="0"/>
          <c:showBubbleSize val="0"/>
        </c:dLbls>
        <c:axId val="453994152"/>
        <c:axId val="453993760"/>
      </c:scatterChart>
      <c:valAx>
        <c:axId val="453994152"/>
        <c:scaling>
          <c:orientation val="minMax"/>
        </c:scaling>
        <c:delete val="0"/>
        <c:axPos val="b"/>
        <c:majorGridlines>
          <c:spPr>
            <a:ln w="9525" cap="flat" cmpd="sng" algn="ctr">
              <a:noFill/>
              <a:prstDash val="solid"/>
              <a:round/>
            </a:ln>
            <a:effectLst/>
          </c:spPr>
        </c:majorGridlines>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s-ES" b="0"/>
                  <a:t>Proportion</a:t>
                </a:r>
                <a:r>
                  <a:rPr lang="es-ES" b="0" baseline="0"/>
                  <a:t> of workforce employed in construction industry</a:t>
                </a:r>
                <a:r>
                  <a:rPr lang="es-ES" b="0"/>
                  <a:t> 2014 (%)</a:t>
                </a:r>
              </a:p>
            </c:rich>
          </c:tx>
          <c:layout>
            <c:manualLayout>
              <c:xMode val="edge"/>
              <c:yMode val="edge"/>
              <c:x val="0.25092430787750913"/>
              <c:y val="0.9375771077395820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low"/>
        <c:spPr>
          <a:noFill/>
          <a:ln w="12700" cap="rnd" cmpd="sng" algn="ctr">
            <a:solidFill>
              <a:sysClr val="windowText" lastClr="000000"/>
            </a:solidFill>
            <a:prstDash val="solid"/>
            <a:round/>
          </a:ln>
          <a:effectLst>
            <a:outerShdw blurRad="50800" dist="50800" dir="5400000" algn="ctr" rotWithShape="0">
              <a:srgbClr val="000000">
                <a:alpha val="0"/>
              </a:srgbClr>
            </a:outerShdw>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53993760"/>
        <c:crossesAt val="3.0700000000000002E-2"/>
        <c:crossBetween val="midCat"/>
      </c:valAx>
      <c:valAx>
        <c:axId val="453993760"/>
        <c:scaling>
          <c:orientation val="minMax"/>
        </c:scaling>
        <c:delete val="0"/>
        <c:axPos val="l"/>
        <c:majorGridlines>
          <c:spPr>
            <a:ln w="9525" cap="flat" cmpd="sng" algn="ctr">
              <a:noFill/>
              <a:prstDash val="solid"/>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s-ES" b="0"/>
                  <a:t>Expected CAGR of construction employment 2014-2019 (%)</a:t>
                </a:r>
              </a:p>
            </c:rich>
          </c:tx>
          <c:layout>
            <c:manualLayout>
              <c:xMode val="edge"/>
              <c:yMode val="edge"/>
              <c:x val="1.167550563971571E-2"/>
              <c:y val="9.7186095640484096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in"/>
        <c:minorTickMark val="none"/>
        <c:tickLblPos val="low"/>
        <c:spPr>
          <a:noFill/>
          <a:ln w="12700" cap="rnd" cmpd="sng" algn="ctr">
            <a:solidFill>
              <a:sysClr val="windowText" lastClr="000000"/>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53994152"/>
        <c:crossesAt val="8.6000000000000021E-2"/>
        <c:crossBetween val="midCat"/>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totemp2014!$A$3</c:f>
              <c:strCache>
                <c:ptCount val="1"/>
                <c:pt idx="0">
                  <c:v>Afghanistan</c:v>
                </c:pt>
              </c:strCache>
            </c:strRef>
          </c:tx>
          <c:spPr>
            <a:ln w="28575" cap="rnd" cmpd="sng" algn="ctr">
              <a:noFill/>
              <a:prstDash val="solid"/>
              <a:round/>
            </a:ln>
            <a:effectLst/>
          </c:spPr>
          <c:marker>
            <c:spPr>
              <a:solidFill>
                <a:schemeClr val="accent1"/>
              </a:solidFill>
              <a:ln w="9525" cap="flat" cmpd="sng" algn="ctr">
                <a:solidFill>
                  <a:schemeClr val="accent1">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totemp2014!$B$3</c:f>
              <c:numCache>
                <c:formatCode>0.00%</c:formatCode>
                <c:ptCount val="1"/>
                <c:pt idx="0">
                  <c:v>3.4013605442176915E-2</c:v>
                </c:pt>
              </c:numCache>
            </c:numRef>
          </c:xVal>
          <c:yVal>
            <c:numRef>
              <c:f>totemp2014!$G$3</c:f>
              <c:numCache>
                <c:formatCode>0.00%</c:formatCode>
                <c:ptCount val="1"/>
                <c:pt idx="0">
                  <c:v>8.0000000000000029E-2</c:v>
                </c:pt>
              </c:numCache>
            </c:numRef>
          </c:yVal>
          <c:smooth val="0"/>
          <c:extLst>
            <c:ext xmlns:c16="http://schemas.microsoft.com/office/drawing/2014/chart" uri="{C3380CC4-5D6E-409C-BE32-E72D297353CC}">
              <c16:uniqueId val="{00000000-D4CD-4338-8921-19BE57B94C4A}"/>
            </c:ext>
          </c:extLst>
        </c:ser>
        <c:ser>
          <c:idx val="1"/>
          <c:order val="1"/>
          <c:tx>
            <c:strRef>
              <c:f>totemp2014!$A$4</c:f>
              <c:strCache>
                <c:ptCount val="1"/>
                <c:pt idx="0">
                  <c:v>Bangladesh</c:v>
                </c:pt>
              </c:strCache>
            </c:strRef>
          </c:tx>
          <c:spPr>
            <a:ln w="28575" cap="rnd" cmpd="sng" algn="ctr">
              <a:noFill/>
              <a:prstDash val="solid"/>
              <a:round/>
            </a:ln>
            <a:effectLst/>
          </c:spPr>
          <c:marker>
            <c:spPr>
              <a:solidFill>
                <a:schemeClr val="accent2"/>
              </a:solidFill>
              <a:ln w="9525" cap="flat" cmpd="sng" algn="ctr">
                <a:solidFill>
                  <a:schemeClr val="accent2">
                    <a:shade val="95000"/>
                    <a:satMod val="105000"/>
                  </a:schemeClr>
                </a:solidFill>
                <a:prstDash val="solid"/>
                <a:round/>
              </a:ln>
              <a:effectLst/>
            </c:spPr>
          </c:marker>
          <c:dLbls>
            <c:dLbl>
              <c:idx val="0"/>
              <c:layout>
                <c:manualLayout>
                  <c:x val="-7.0052526524350504E-3"/>
                  <c:y val="3.3250207813798802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D4CD-4338-8921-19BE57B94C4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totemp2014!$B$4</c:f>
              <c:numCache>
                <c:formatCode>0.00%</c:formatCode>
                <c:ptCount val="1"/>
                <c:pt idx="0">
                  <c:v>0.122354035822284</c:v>
                </c:pt>
              </c:numCache>
            </c:numRef>
          </c:xVal>
          <c:yVal>
            <c:numRef>
              <c:f>totemp2014!$G$4</c:f>
              <c:numCache>
                <c:formatCode>0.00%</c:formatCode>
                <c:ptCount val="1"/>
                <c:pt idx="0">
                  <c:v>8.8973384030418184E-2</c:v>
                </c:pt>
              </c:numCache>
            </c:numRef>
          </c:yVal>
          <c:smooth val="0"/>
          <c:extLst>
            <c:ext xmlns:c16="http://schemas.microsoft.com/office/drawing/2014/chart" uri="{C3380CC4-5D6E-409C-BE32-E72D297353CC}">
              <c16:uniqueId val="{00000002-D4CD-4338-8921-19BE57B94C4A}"/>
            </c:ext>
          </c:extLst>
        </c:ser>
        <c:ser>
          <c:idx val="2"/>
          <c:order val="2"/>
          <c:tx>
            <c:strRef>
              <c:f>totemp2014!$A$5</c:f>
              <c:strCache>
                <c:ptCount val="1"/>
                <c:pt idx="0">
                  <c:v>DRC</c:v>
                </c:pt>
              </c:strCache>
            </c:strRef>
          </c:tx>
          <c:spPr>
            <a:ln w="28575" cap="rnd" cmpd="sng" algn="ctr">
              <a:noFill/>
              <a:prstDash val="solid"/>
              <a:round/>
            </a:ln>
            <a:effectLst/>
          </c:spPr>
          <c:marker>
            <c:spPr>
              <a:solidFill>
                <a:schemeClr val="accent3"/>
              </a:solidFill>
              <a:ln w="9525" cap="flat" cmpd="sng" algn="ctr">
                <a:solidFill>
                  <a:schemeClr val="accent3">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totemp2014!$B$5</c:f>
              <c:numCache>
                <c:formatCode>0.00%</c:formatCode>
                <c:ptCount val="1"/>
                <c:pt idx="0">
                  <c:v>3.3057851239669402E-2</c:v>
                </c:pt>
              </c:numCache>
            </c:numRef>
          </c:xVal>
          <c:yVal>
            <c:numRef>
              <c:f>totemp2014!$G$5</c:f>
              <c:numCache>
                <c:formatCode>0.00%</c:formatCode>
                <c:ptCount val="1"/>
                <c:pt idx="0">
                  <c:v>4.0000000000000015E-2</c:v>
                </c:pt>
              </c:numCache>
            </c:numRef>
          </c:yVal>
          <c:smooth val="0"/>
          <c:extLst>
            <c:ext xmlns:c16="http://schemas.microsoft.com/office/drawing/2014/chart" uri="{C3380CC4-5D6E-409C-BE32-E72D297353CC}">
              <c16:uniqueId val="{00000003-D4CD-4338-8921-19BE57B94C4A}"/>
            </c:ext>
          </c:extLst>
        </c:ser>
        <c:ser>
          <c:idx val="3"/>
          <c:order val="3"/>
          <c:tx>
            <c:strRef>
              <c:f>totemp2014!$A$6</c:f>
              <c:strCache>
                <c:ptCount val="1"/>
                <c:pt idx="0">
                  <c:v>Ethiopia</c:v>
                </c:pt>
              </c:strCache>
            </c:strRef>
          </c:tx>
          <c:spPr>
            <a:ln w="28575" cap="rnd" cmpd="sng" algn="ctr">
              <a:noFill/>
              <a:prstDash val="solid"/>
              <a:round/>
            </a:ln>
            <a:effectLst/>
          </c:spPr>
          <c:marker>
            <c:spPr>
              <a:noFill/>
              <a:ln w="9525" cap="flat" cmpd="sng" algn="ctr">
                <a:solidFill>
                  <a:schemeClr val="accent4">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totemp2014!$B$6</c:f>
              <c:numCache>
                <c:formatCode>0.00%</c:formatCode>
                <c:ptCount val="1"/>
                <c:pt idx="0">
                  <c:v>0.20885357548240599</c:v>
                </c:pt>
              </c:numCache>
            </c:numRef>
          </c:xVal>
          <c:yVal>
            <c:numRef>
              <c:f>totemp2014!$G$6</c:f>
              <c:numCache>
                <c:formatCode>0.00%</c:formatCode>
                <c:ptCount val="1"/>
                <c:pt idx="0">
                  <c:v>4.2391304347826238E-2</c:v>
                </c:pt>
              </c:numCache>
            </c:numRef>
          </c:yVal>
          <c:smooth val="0"/>
          <c:extLst>
            <c:ext xmlns:c16="http://schemas.microsoft.com/office/drawing/2014/chart" uri="{C3380CC4-5D6E-409C-BE32-E72D297353CC}">
              <c16:uniqueId val="{00000004-D4CD-4338-8921-19BE57B94C4A}"/>
            </c:ext>
          </c:extLst>
        </c:ser>
        <c:ser>
          <c:idx val="4"/>
          <c:order val="4"/>
          <c:tx>
            <c:strRef>
              <c:f>totemp2014!$A$7</c:f>
              <c:strCache>
                <c:ptCount val="1"/>
                <c:pt idx="0">
                  <c:v>Ghana</c:v>
                </c:pt>
              </c:strCache>
            </c:strRef>
          </c:tx>
          <c:spPr>
            <a:ln w="28575" cap="rnd" cmpd="sng" algn="ctr">
              <a:noFill/>
              <a:prstDash val="solid"/>
              <a:round/>
            </a:ln>
            <a:effectLst/>
          </c:spPr>
          <c:marker>
            <c:spPr>
              <a:noFill/>
              <a:ln w="9525" cap="flat" cmpd="sng" algn="ctr">
                <a:solidFill>
                  <a:schemeClr val="accent5">
                    <a:shade val="95000"/>
                    <a:satMod val="105000"/>
                  </a:schemeClr>
                </a:solidFill>
                <a:prstDash val="solid"/>
                <a:round/>
              </a:ln>
              <a:effectLst/>
            </c:spPr>
          </c:marker>
          <c:dLbls>
            <c:dLbl>
              <c:idx val="0"/>
              <c:layout>
                <c:manualLayout>
                  <c:x val="-4.8043898112369397E-3"/>
                  <c:y val="3.2859583325151702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D4CD-4338-8921-19BE57B94C4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b"/>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totemp2014!$B$7</c:f>
              <c:numCache>
                <c:formatCode>0.00%</c:formatCode>
                <c:ptCount val="1"/>
                <c:pt idx="0">
                  <c:v>2.9333333333333402E-2</c:v>
                </c:pt>
              </c:numCache>
            </c:numRef>
          </c:xVal>
          <c:yVal>
            <c:numRef>
              <c:f>totemp2014!$G$7</c:f>
              <c:numCache>
                <c:formatCode>0.00%</c:formatCode>
                <c:ptCount val="1"/>
                <c:pt idx="0">
                  <c:v>3.6363636363636397E-2</c:v>
                </c:pt>
              </c:numCache>
            </c:numRef>
          </c:yVal>
          <c:smooth val="0"/>
          <c:extLst>
            <c:ext xmlns:c16="http://schemas.microsoft.com/office/drawing/2014/chart" uri="{C3380CC4-5D6E-409C-BE32-E72D297353CC}">
              <c16:uniqueId val="{00000006-D4CD-4338-8921-19BE57B94C4A}"/>
            </c:ext>
          </c:extLst>
        </c:ser>
        <c:ser>
          <c:idx val="5"/>
          <c:order val="5"/>
          <c:tx>
            <c:strRef>
              <c:f>totemp2014!$A$8</c:f>
              <c:strCache>
                <c:ptCount val="1"/>
                <c:pt idx="0">
                  <c:v>India</c:v>
                </c:pt>
              </c:strCache>
            </c:strRef>
          </c:tx>
          <c:spPr>
            <a:ln w="28575" cap="rnd" cmpd="sng" algn="ctr">
              <a:noFill/>
              <a:prstDash val="solid"/>
              <a:round/>
            </a:ln>
            <a:effectLst/>
          </c:spPr>
          <c:marker>
            <c:spPr>
              <a:solidFill>
                <a:schemeClr val="accent6"/>
              </a:solidFill>
              <a:ln w="9525" cap="flat" cmpd="sng" algn="ctr">
                <a:solidFill>
                  <a:schemeClr val="accent6">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totemp2014!$B$8</c:f>
              <c:numCache>
                <c:formatCode>0.00%</c:formatCode>
                <c:ptCount val="1"/>
                <c:pt idx="0">
                  <c:v>0.13126594700687005</c:v>
                </c:pt>
              </c:numCache>
            </c:numRef>
          </c:xVal>
          <c:yVal>
            <c:numRef>
              <c:f>totemp2014!$G$8</c:f>
              <c:numCache>
                <c:formatCode>0.00%</c:formatCode>
                <c:ptCount val="1"/>
                <c:pt idx="0">
                  <c:v>6.7793062200956933E-2</c:v>
                </c:pt>
              </c:numCache>
            </c:numRef>
          </c:yVal>
          <c:smooth val="0"/>
          <c:extLst>
            <c:ext xmlns:c16="http://schemas.microsoft.com/office/drawing/2014/chart" uri="{C3380CC4-5D6E-409C-BE32-E72D297353CC}">
              <c16:uniqueId val="{00000007-D4CD-4338-8921-19BE57B94C4A}"/>
            </c:ext>
          </c:extLst>
        </c:ser>
        <c:ser>
          <c:idx val="6"/>
          <c:order val="6"/>
          <c:tx>
            <c:strRef>
              <c:f>totemp2014!$A$9</c:f>
              <c:strCache>
                <c:ptCount val="1"/>
                <c:pt idx="0">
                  <c:v>Kenya</c:v>
                </c:pt>
              </c:strCache>
            </c:strRef>
          </c:tx>
          <c:spPr>
            <a:ln w="28575" cap="rnd" cmpd="sng" algn="ctr">
              <a:noFill/>
              <a:prstDash val="solid"/>
              <a:round/>
            </a:ln>
            <a:effectLst/>
          </c:spPr>
          <c:marker>
            <c:spPr>
              <a:noFill/>
              <a:ln w="9525" cap="flat" cmpd="sng" algn="ctr">
                <a:solidFill>
                  <a:schemeClr val="accent1">
                    <a:lumMod val="6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totemp2014!$B$9</c:f>
              <c:numCache>
                <c:formatCode>0.00%</c:formatCode>
                <c:ptCount val="1"/>
                <c:pt idx="0">
                  <c:v>2.0964360587002108E-2</c:v>
                </c:pt>
              </c:numCache>
            </c:numRef>
          </c:xVal>
          <c:yVal>
            <c:numRef>
              <c:f>totemp2014!$G$9</c:f>
              <c:numCache>
                <c:formatCode>0.00%</c:formatCode>
                <c:ptCount val="1"/>
                <c:pt idx="0">
                  <c:v>4.0000000000000015E-2</c:v>
                </c:pt>
              </c:numCache>
            </c:numRef>
          </c:yVal>
          <c:smooth val="0"/>
          <c:extLst>
            <c:ext xmlns:c16="http://schemas.microsoft.com/office/drawing/2014/chart" uri="{C3380CC4-5D6E-409C-BE32-E72D297353CC}">
              <c16:uniqueId val="{00000008-D4CD-4338-8921-19BE57B94C4A}"/>
            </c:ext>
          </c:extLst>
        </c:ser>
        <c:ser>
          <c:idx val="7"/>
          <c:order val="7"/>
          <c:tx>
            <c:strRef>
              <c:f>totemp2014!$A$10</c:f>
              <c:strCache>
                <c:ptCount val="1"/>
                <c:pt idx="0">
                  <c:v>Kyrgyzstan</c:v>
                </c:pt>
              </c:strCache>
            </c:strRef>
          </c:tx>
          <c:spPr>
            <a:ln w="28575" cap="rnd" cmpd="sng" algn="ctr">
              <a:noFill/>
              <a:prstDash val="solid"/>
              <a:round/>
            </a:ln>
            <a:effectLst/>
          </c:spPr>
          <c:marker>
            <c:spPr>
              <a:solidFill>
                <a:schemeClr val="accent2">
                  <a:lumMod val="60000"/>
                </a:schemeClr>
              </a:solidFill>
              <a:ln w="9525" cap="flat" cmpd="sng" algn="ctr">
                <a:solidFill>
                  <a:schemeClr val="accent2">
                    <a:lumMod val="60000"/>
                    <a:shade val="95000"/>
                    <a:satMod val="105000"/>
                  </a:schemeClr>
                </a:solidFill>
                <a:prstDash val="solid"/>
                <a:round/>
              </a:ln>
              <a:effectLst/>
            </c:spPr>
          </c:marker>
          <c:dLbls>
            <c:dLbl>
              <c:idx val="0"/>
              <c:layout>
                <c:manualLayout>
                  <c:x val="0"/>
                  <c:y val="2.9925187032418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D4CD-4338-8921-19BE57B94C4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totemp2014!$B$10</c:f>
              <c:numCache>
                <c:formatCode>0.00%</c:formatCode>
                <c:ptCount val="1"/>
                <c:pt idx="0">
                  <c:v>4.4444444444444502E-2</c:v>
                </c:pt>
              </c:numCache>
            </c:numRef>
          </c:xVal>
          <c:yVal>
            <c:numRef>
              <c:f>totemp2014!$G$10</c:f>
              <c:numCache>
                <c:formatCode>0.00%</c:formatCode>
                <c:ptCount val="1"/>
                <c:pt idx="0">
                  <c:v>3.3333333333333298E-2</c:v>
                </c:pt>
              </c:numCache>
            </c:numRef>
          </c:yVal>
          <c:smooth val="0"/>
          <c:extLst>
            <c:ext xmlns:c16="http://schemas.microsoft.com/office/drawing/2014/chart" uri="{C3380CC4-5D6E-409C-BE32-E72D297353CC}">
              <c16:uniqueId val="{0000000A-D4CD-4338-8921-19BE57B94C4A}"/>
            </c:ext>
          </c:extLst>
        </c:ser>
        <c:ser>
          <c:idx val="8"/>
          <c:order val="8"/>
          <c:tx>
            <c:strRef>
              <c:f>totemp2014!$A$11</c:f>
              <c:strCache>
                <c:ptCount val="1"/>
                <c:pt idx="0">
                  <c:v>Liberia</c:v>
                </c:pt>
              </c:strCache>
            </c:strRef>
          </c:tx>
          <c:spPr>
            <a:ln w="28575" cap="rnd" cmpd="sng" algn="ctr">
              <a:noFill/>
              <a:prstDash val="solid"/>
              <a:round/>
            </a:ln>
            <a:effectLst/>
          </c:spPr>
          <c:marker>
            <c:spPr>
              <a:solidFill>
                <a:schemeClr val="accent3">
                  <a:lumMod val="60000"/>
                </a:schemeClr>
              </a:solidFill>
              <a:ln w="9525" cap="flat" cmpd="sng" algn="ctr">
                <a:solidFill>
                  <a:schemeClr val="accent3">
                    <a:lumMod val="6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totemp2014!$B$11</c:f>
              <c:numCache>
                <c:formatCode>0.00%</c:formatCode>
                <c:ptCount val="1"/>
                <c:pt idx="0">
                  <c:v>0.14583333333333406</c:v>
                </c:pt>
              </c:numCache>
            </c:numRef>
          </c:xVal>
          <c:yVal>
            <c:numRef>
              <c:f>totemp2014!$G$11</c:f>
              <c:numCache>
                <c:formatCode>0.00%</c:formatCode>
                <c:ptCount val="1"/>
                <c:pt idx="0">
                  <c:v>2.8571428571428602E-2</c:v>
                </c:pt>
              </c:numCache>
            </c:numRef>
          </c:yVal>
          <c:smooth val="0"/>
          <c:extLst>
            <c:ext xmlns:c16="http://schemas.microsoft.com/office/drawing/2014/chart" uri="{C3380CC4-5D6E-409C-BE32-E72D297353CC}">
              <c16:uniqueId val="{0000000B-D4CD-4338-8921-19BE57B94C4A}"/>
            </c:ext>
          </c:extLst>
        </c:ser>
        <c:ser>
          <c:idx val="9"/>
          <c:order val="9"/>
          <c:tx>
            <c:strRef>
              <c:f>totemp2014!$A$12</c:f>
              <c:strCache>
                <c:ptCount val="1"/>
                <c:pt idx="0">
                  <c:v>Malawi</c:v>
                </c:pt>
              </c:strCache>
            </c:strRef>
          </c:tx>
          <c:spPr>
            <a:ln w="28575" cap="rnd" cmpd="sng" algn="ctr">
              <a:noFill/>
              <a:prstDash val="solid"/>
              <a:round/>
            </a:ln>
            <a:effectLst/>
          </c:spPr>
          <c:marker>
            <c:spPr>
              <a:solidFill>
                <a:schemeClr val="accent4">
                  <a:lumMod val="60000"/>
                </a:schemeClr>
              </a:solidFill>
              <a:ln w="9525" cap="flat" cmpd="sng" algn="ctr">
                <a:solidFill>
                  <a:schemeClr val="accent4">
                    <a:lumMod val="6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totemp2014!$B$12</c:f>
              <c:numCache>
                <c:formatCode>0.00%</c:formatCode>
                <c:ptCount val="1"/>
                <c:pt idx="0">
                  <c:v>3.3333333333333298E-2</c:v>
                </c:pt>
              </c:numCache>
            </c:numRef>
          </c:xVal>
          <c:yVal>
            <c:numRef>
              <c:f>totemp2014!$G$12</c:f>
              <c:numCache>
                <c:formatCode>0.00%</c:formatCode>
                <c:ptCount val="1"/>
                <c:pt idx="0">
                  <c:v>0.05</c:v>
                </c:pt>
              </c:numCache>
            </c:numRef>
          </c:yVal>
          <c:smooth val="0"/>
          <c:extLst>
            <c:ext xmlns:c16="http://schemas.microsoft.com/office/drawing/2014/chart" uri="{C3380CC4-5D6E-409C-BE32-E72D297353CC}">
              <c16:uniqueId val="{0000000C-D4CD-4338-8921-19BE57B94C4A}"/>
            </c:ext>
          </c:extLst>
        </c:ser>
        <c:ser>
          <c:idx val="10"/>
          <c:order val="10"/>
          <c:tx>
            <c:strRef>
              <c:f>totemp2014!$A$13</c:f>
              <c:strCache>
                <c:ptCount val="1"/>
                <c:pt idx="0">
                  <c:v>Mozambique</c:v>
                </c:pt>
              </c:strCache>
            </c:strRef>
          </c:tx>
          <c:spPr>
            <a:ln w="28575" cap="rnd" cmpd="sng" algn="ctr">
              <a:noFill/>
              <a:prstDash val="solid"/>
              <a:round/>
            </a:ln>
            <a:effectLst/>
          </c:spPr>
          <c:marker>
            <c:spPr>
              <a:solidFill>
                <a:schemeClr val="accent5">
                  <a:lumMod val="60000"/>
                </a:schemeClr>
              </a:solidFill>
              <a:ln w="9525" cap="flat" cmpd="sng" algn="ctr">
                <a:solidFill>
                  <a:schemeClr val="accent5">
                    <a:lumMod val="60000"/>
                    <a:shade val="95000"/>
                    <a:satMod val="105000"/>
                  </a:schemeClr>
                </a:solidFill>
                <a:prstDash val="solid"/>
                <a:round/>
              </a:ln>
              <a:effectLst/>
            </c:spPr>
          </c:marker>
          <c:dLbls>
            <c:dLbl>
              <c:idx val="0"/>
              <c:layout>
                <c:manualLayout>
                  <c:x val="-0.10726218546231805"/>
                  <c:y val="4.2834645669291301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D4CD-4338-8921-19BE57B94C4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b"/>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totemp2014!$B$13</c:f>
              <c:numCache>
                <c:formatCode>0.00%</c:formatCode>
                <c:ptCount val="1"/>
                <c:pt idx="0">
                  <c:v>1.8726591760299605E-2</c:v>
                </c:pt>
              </c:numCache>
            </c:numRef>
          </c:xVal>
          <c:yVal>
            <c:numRef>
              <c:f>totemp2014!$G$13</c:f>
              <c:numCache>
                <c:formatCode>0.00%</c:formatCode>
                <c:ptCount val="1"/>
                <c:pt idx="0">
                  <c:v>4.0000000000000015E-2</c:v>
                </c:pt>
              </c:numCache>
            </c:numRef>
          </c:yVal>
          <c:smooth val="0"/>
          <c:extLst>
            <c:ext xmlns:c16="http://schemas.microsoft.com/office/drawing/2014/chart" uri="{C3380CC4-5D6E-409C-BE32-E72D297353CC}">
              <c16:uniqueId val="{0000000E-D4CD-4338-8921-19BE57B94C4A}"/>
            </c:ext>
          </c:extLst>
        </c:ser>
        <c:ser>
          <c:idx val="11"/>
          <c:order val="11"/>
          <c:tx>
            <c:strRef>
              <c:f>totemp2014!$A$14</c:f>
              <c:strCache>
                <c:ptCount val="1"/>
                <c:pt idx="0">
                  <c:v>Myanmar</c:v>
                </c:pt>
              </c:strCache>
            </c:strRef>
          </c:tx>
          <c:spPr>
            <a:ln w="28575" cap="rnd" cmpd="sng" algn="ctr">
              <a:noFill/>
              <a:prstDash val="solid"/>
              <a:round/>
            </a:ln>
            <a:effectLst/>
          </c:spPr>
          <c:marker>
            <c:spPr>
              <a:solidFill>
                <a:schemeClr val="accent6">
                  <a:lumMod val="60000"/>
                </a:schemeClr>
              </a:solidFill>
              <a:ln w="9525" cap="flat" cmpd="sng" algn="ctr">
                <a:solidFill>
                  <a:schemeClr val="accent6">
                    <a:lumMod val="6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totemp2014!$B$14</c:f>
              <c:numCache>
                <c:formatCode>0.00%</c:formatCode>
                <c:ptCount val="1"/>
                <c:pt idx="0">
                  <c:v>2.1578947368421118E-2</c:v>
                </c:pt>
              </c:numCache>
            </c:numRef>
          </c:xVal>
          <c:yVal>
            <c:numRef>
              <c:f>totemp2014!$G$14</c:f>
              <c:numCache>
                <c:formatCode>0.00%</c:formatCode>
                <c:ptCount val="1"/>
                <c:pt idx="0">
                  <c:v>0.28292682926829321</c:v>
                </c:pt>
              </c:numCache>
            </c:numRef>
          </c:yVal>
          <c:smooth val="0"/>
          <c:extLst>
            <c:ext xmlns:c16="http://schemas.microsoft.com/office/drawing/2014/chart" uri="{C3380CC4-5D6E-409C-BE32-E72D297353CC}">
              <c16:uniqueId val="{0000000F-D4CD-4338-8921-19BE57B94C4A}"/>
            </c:ext>
          </c:extLst>
        </c:ser>
        <c:ser>
          <c:idx val="12"/>
          <c:order val="12"/>
          <c:tx>
            <c:strRef>
              <c:f>totemp2014!$A$15</c:f>
              <c:strCache>
                <c:ptCount val="1"/>
                <c:pt idx="0">
                  <c:v>Nepal</c:v>
                </c:pt>
              </c:strCache>
            </c:strRef>
          </c:tx>
          <c:spPr>
            <a:ln w="28575" cap="rnd" cmpd="sng" algn="ctr">
              <a:noFill/>
              <a:prstDash val="solid"/>
              <a:round/>
            </a:ln>
            <a:effectLst/>
          </c:spPr>
          <c:marker>
            <c:spPr>
              <a:noFill/>
              <a:ln w="9525" cap="flat" cmpd="sng" algn="ctr">
                <a:solidFill>
                  <a:schemeClr val="accent1">
                    <a:lumMod val="80000"/>
                    <a:lumOff val="2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totemp2014!$B$15</c:f>
              <c:numCache>
                <c:formatCode>0.00%</c:formatCode>
                <c:ptCount val="1"/>
                <c:pt idx="0">
                  <c:v>0.107142857142857</c:v>
                </c:pt>
              </c:numCache>
            </c:numRef>
          </c:xVal>
          <c:yVal>
            <c:numRef>
              <c:f>totemp2014!$G$15</c:f>
              <c:numCache>
                <c:formatCode>0.00%</c:formatCode>
                <c:ptCount val="1"/>
                <c:pt idx="0">
                  <c:v>6.3333333333333422E-2</c:v>
                </c:pt>
              </c:numCache>
            </c:numRef>
          </c:yVal>
          <c:smooth val="0"/>
          <c:extLst>
            <c:ext xmlns:c16="http://schemas.microsoft.com/office/drawing/2014/chart" uri="{C3380CC4-5D6E-409C-BE32-E72D297353CC}">
              <c16:uniqueId val="{00000010-D4CD-4338-8921-19BE57B94C4A}"/>
            </c:ext>
          </c:extLst>
        </c:ser>
        <c:ser>
          <c:idx val="13"/>
          <c:order val="13"/>
          <c:tx>
            <c:strRef>
              <c:f>totemp2014!$A$16</c:f>
              <c:strCache>
                <c:ptCount val="1"/>
                <c:pt idx="0">
                  <c:v>Nigeria</c:v>
                </c:pt>
              </c:strCache>
            </c:strRef>
          </c:tx>
          <c:spPr>
            <a:ln w="28575" cap="rnd" cmpd="sng" algn="ctr">
              <a:noFill/>
              <a:prstDash val="solid"/>
              <a:round/>
            </a:ln>
            <a:effectLst/>
          </c:spPr>
          <c:marker>
            <c:spPr>
              <a:noFill/>
              <a:ln w="9525" cap="flat" cmpd="sng" algn="ctr">
                <a:solidFill>
                  <a:schemeClr val="accent2">
                    <a:lumMod val="80000"/>
                    <a:lumOff val="2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totemp2014!$B$16</c:f>
              <c:numCache>
                <c:formatCode>0.00%</c:formatCode>
                <c:ptCount val="1"/>
                <c:pt idx="0">
                  <c:v>5.1977401129943521E-2</c:v>
                </c:pt>
              </c:numCache>
            </c:numRef>
          </c:xVal>
          <c:yVal>
            <c:numRef>
              <c:f>totemp2014!$G$16</c:f>
              <c:numCache>
                <c:formatCode>0.00%</c:formatCode>
                <c:ptCount val="1"/>
                <c:pt idx="0">
                  <c:v>3.4782608695652202E-2</c:v>
                </c:pt>
              </c:numCache>
            </c:numRef>
          </c:yVal>
          <c:smooth val="0"/>
          <c:extLst>
            <c:ext xmlns:c16="http://schemas.microsoft.com/office/drawing/2014/chart" uri="{C3380CC4-5D6E-409C-BE32-E72D297353CC}">
              <c16:uniqueId val="{00000011-D4CD-4338-8921-19BE57B94C4A}"/>
            </c:ext>
          </c:extLst>
        </c:ser>
        <c:ser>
          <c:idx val="14"/>
          <c:order val="14"/>
          <c:tx>
            <c:strRef>
              <c:f>totemp2014!$A$17</c:f>
              <c:strCache>
                <c:ptCount val="1"/>
                <c:pt idx="0">
                  <c:v>Pakistan</c:v>
                </c:pt>
              </c:strCache>
            </c:strRef>
          </c:tx>
          <c:spPr>
            <a:ln w="28575" cap="rnd" cmpd="sng" algn="ctr">
              <a:noFill/>
              <a:prstDash val="solid"/>
              <a:round/>
            </a:ln>
            <a:effectLst/>
          </c:spPr>
          <c:marker>
            <c:spPr>
              <a:solidFill>
                <a:schemeClr val="accent3">
                  <a:lumMod val="80000"/>
                  <a:lumOff val="20000"/>
                </a:schemeClr>
              </a:solidFill>
              <a:ln w="9525" cap="flat" cmpd="sng" algn="ctr">
                <a:solidFill>
                  <a:schemeClr val="accent3">
                    <a:lumMod val="80000"/>
                    <a:lumOff val="20000"/>
                    <a:shade val="95000"/>
                    <a:satMod val="105000"/>
                  </a:schemeClr>
                </a:solidFill>
                <a:prstDash val="solid"/>
                <a:round/>
              </a:ln>
              <a:effectLst/>
            </c:spPr>
          </c:marker>
          <c:dLbls>
            <c:dLbl>
              <c:idx val="0"/>
              <c:layout>
                <c:manualLayout>
                  <c:x val="-5.3706937002002339E-2"/>
                  <c:y val="-2.6600166251039108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2-D4CD-4338-8921-19BE57B94C4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totemp2014!$B$17</c:f>
              <c:numCache>
                <c:formatCode>0.00%</c:formatCode>
                <c:ptCount val="1"/>
                <c:pt idx="0">
                  <c:v>1.2518886250809399E-2</c:v>
                </c:pt>
              </c:numCache>
            </c:numRef>
          </c:xVal>
          <c:yVal>
            <c:numRef>
              <c:f>totemp2014!$G$17</c:f>
              <c:numCache>
                <c:formatCode>0.00%</c:formatCode>
                <c:ptCount val="1"/>
                <c:pt idx="0">
                  <c:v>6.8965517241379309E-2</c:v>
                </c:pt>
              </c:numCache>
            </c:numRef>
          </c:yVal>
          <c:smooth val="0"/>
          <c:extLst>
            <c:ext xmlns:c16="http://schemas.microsoft.com/office/drawing/2014/chart" uri="{C3380CC4-5D6E-409C-BE32-E72D297353CC}">
              <c16:uniqueId val="{00000013-D4CD-4338-8921-19BE57B94C4A}"/>
            </c:ext>
          </c:extLst>
        </c:ser>
        <c:ser>
          <c:idx val="15"/>
          <c:order val="15"/>
          <c:tx>
            <c:strRef>
              <c:f>totemp2014!$A$18</c:f>
              <c:strCache>
                <c:ptCount val="1"/>
                <c:pt idx="0">
                  <c:v>Rwanda</c:v>
                </c:pt>
              </c:strCache>
            </c:strRef>
          </c:tx>
          <c:spPr>
            <a:ln w="28575" cap="rnd" cmpd="sng" algn="ctr">
              <a:noFill/>
              <a:prstDash val="solid"/>
              <a:round/>
            </a:ln>
            <a:effectLst/>
          </c:spPr>
          <c:marker>
            <c:spPr>
              <a:noFill/>
              <a:ln w="9525" cap="flat" cmpd="sng" algn="ctr">
                <a:solidFill>
                  <a:schemeClr val="accent4">
                    <a:lumMod val="80000"/>
                    <a:lumOff val="20000"/>
                    <a:shade val="95000"/>
                    <a:satMod val="105000"/>
                  </a:schemeClr>
                </a:solidFill>
                <a:prstDash val="solid"/>
                <a:round/>
              </a:ln>
              <a:effectLst/>
            </c:spPr>
          </c:marker>
          <c:dLbls>
            <c:dLbl>
              <c:idx val="0"/>
              <c:layout>
                <c:manualLayout>
                  <c:x val="-2.0005788067021114E-2"/>
                  <c:y val="-1.70157283955466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4-D4CD-4338-8921-19BE57B94C4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b"/>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totemp2014!$B$18</c:f>
              <c:numCache>
                <c:formatCode>0.00%</c:formatCode>
                <c:ptCount val="1"/>
                <c:pt idx="0">
                  <c:v>7.9646017699115113E-2</c:v>
                </c:pt>
              </c:numCache>
            </c:numRef>
          </c:xVal>
          <c:yVal>
            <c:numRef>
              <c:f>totemp2014!$G$18</c:f>
              <c:numCache>
                <c:formatCode>0.00%</c:formatCode>
                <c:ptCount val="1"/>
                <c:pt idx="0">
                  <c:v>3.3333333333333298E-2</c:v>
                </c:pt>
              </c:numCache>
            </c:numRef>
          </c:yVal>
          <c:smooth val="0"/>
          <c:extLst>
            <c:ext xmlns:c16="http://schemas.microsoft.com/office/drawing/2014/chart" uri="{C3380CC4-5D6E-409C-BE32-E72D297353CC}">
              <c16:uniqueId val="{00000015-D4CD-4338-8921-19BE57B94C4A}"/>
            </c:ext>
          </c:extLst>
        </c:ser>
        <c:ser>
          <c:idx val="16"/>
          <c:order val="16"/>
          <c:tx>
            <c:strRef>
              <c:f>totemp2014!$A$19</c:f>
              <c:strCache>
                <c:ptCount val="1"/>
                <c:pt idx="0">
                  <c:v>Sierra Leone</c:v>
                </c:pt>
              </c:strCache>
            </c:strRef>
          </c:tx>
          <c:spPr>
            <a:ln w="28575" cap="rnd" cmpd="sng" algn="ctr">
              <a:noFill/>
              <a:prstDash val="solid"/>
              <a:round/>
            </a:ln>
            <a:effectLst/>
          </c:spPr>
          <c:marker>
            <c:spPr>
              <a:solidFill>
                <a:schemeClr val="accent5">
                  <a:lumMod val="80000"/>
                  <a:lumOff val="20000"/>
                </a:schemeClr>
              </a:solidFill>
              <a:ln w="9525" cap="flat" cmpd="sng" algn="ctr">
                <a:solidFill>
                  <a:schemeClr val="accent5">
                    <a:lumMod val="80000"/>
                    <a:lumOff val="2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totemp2014!$B$19</c:f>
              <c:numCache>
                <c:formatCode>0.00%</c:formatCode>
                <c:ptCount val="1"/>
                <c:pt idx="0">
                  <c:v>0.21666666666666701</c:v>
                </c:pt>
              </c:numCache>
            </c:numRef>
          </c:xVal>
          <c:yVal>
            <c:numRef>
              <c:f>totemp2014!$G$19</c:f>
              <c:numCache>
                <c:formatCode>0.00%</c:formatCode>
                <c:ptCount val="1"/>
                <c:pt idx="0">
                  <c:v>3.0769230769230802E-2</c:v>
                </c:pt>
              </c:numCache>
            </c:numRef>
          </c:yVal>
          <c:smooth val="0"/>
          <c:extLst>
            <c:ext xmlns:c16="http://schemas.microsoft.com/office/drawing/2014/chart" uri="{C3380CC4-5D6E-409C-BE32-E72D297353CC}">
              <c16:uniqueId val="{00000016-D4CD-4338-8921-19BE57B94C4A}"/>
            </c:ext>
          </c:extLst>
        </c:ser>
        <c:ser>
          <c:idx val="17"/>
          <c:order val="17"/>
          <c:tx>
            <c:strRef>
              <c:f>totemp2014!$A$20</c:f>
              <c:strCache>
                <c:ptCount val="1"/>
                <c:pt idx="0">
                  <c:v>South Africa</c:v>
                </c:pt>
              </c:strCache>
            </c:strRef>
          </c:tx>
          <c:spPr>
            <a:ln w="28575" cap="rnd" cmpd="sng" algn="ctr">
              <a:noFill/>
              <a:prstDash val="solid"/>
              <a:round/>
            </a:ln>
            <a:effectLst/>
          </c:spPr>
          <c:marker>
            <c:spPr>
              <a:solidFill>
                <a:schemeClr val="accent6">
                  <a:lumMod val="80000"/>
                  <a:lumOff val="20000"/>
                </a:schemeClr>
              </a:solidFill>
              <a:ln w="9525" cap="flat" cmpd="sng" algn="ctr">
                <a:solidFill>
                  <a:schemeClr val="accent6">
                    <a:lumMod val="80000"/>
                    <a:lumOff val="2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totemp2014!$B$20</c:f>
              <c:numCache>
                <c:formatCode>0.00%</c:formatCode>
                <c:ptCount val="1"/>
                <c:pt idx="0">
                  <c:v>0.11522198731501103</c:v>
                </c:pt>
              </c:numCache>
            </c:numRef>
          </c:xVal>
          <c:yVal>
            <c:numRef>
              <c:f>totemp2014!$G$20</c:f>
              <c:numCache>
                <c:formatCode>0.00%</c:formatCode>
                <c:ptCount val="1"/>
                <c:pt idx="0">
                  <c:v>7.3394495412844136E-3</c:v>
                </c:pt>
              </c:numCache>
            </c:numRef>
          </c:yVal>
          <c:smooth val="0"/>
          <c:extLst>
            <c:ext xmlns:c16="http://schemas.microsoft.com/office/drawing/2014/chart" uri="{C3380CC4-5D6E-409C-BE32-E72D297353CC}">
              <c16:uniqueId val="{00000017-D4CD-4338-8921-19BE57B94C4A}"/>
            </c:ext>
          </c:extLst>
        </c:ser>
        <c:ser>
          <c:idx val="18"/>
          <c:order val="18"/>
          <c:tx>
            <c:strRef>
              <c:f>totemp2014!$A$21</c:f>
              <c:strCache>
                <c:ptCount val="1"/>
                <c:pt idx="0">
                  <c:v>Sudan</c:v>
                </c:pt>
              </c:strCache>
            </c:strRef>
          </c:tx>
          <c:spPr>
            <a:ln w="28575" cap="rnd" cmpd="sng" algn="ctr">
              <a:noFill/>
              <a:prstDash val="solid"/>
              <a:round/>
            </a:ln>
            <a:effectLst/>
          </c:spPr>
          <c:marker>
            <c:spPr>
              <a:solidFill>
                <a:schemeClr val="accent1">
                  <a:lumMod val="80000"/>
                </a:schemeClr>
              </a:solidFill>
              <a:ln w="9525" cap="flat" cmpd="sng" algn="ctr">
                <a:solidFill>
                  <a:schemeClr val="accent1">
                    <a:lumMod val="80000"/>
                    <a:shade val="95000"/>
                    <a:satMod val="105000"/>
                  </a:schemeClr>
                </a:solidFill>
                <a:prstDash val="solid"/>
                <a:round/>
              </a:ln>
              <a:effectLst/>
            </c:spPr>
          </c:marker>
          <c:dLbls>
            <c:dLbl>
              <c:idx val="0"/>
              <c:layout>
                <c:manualLayout>
                  <c:x val="-4.5674247293876397E-2"/>
                  <c:y val="3.6184604106531598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8-D4CD-4338-8921-19BE57B94C4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b"/>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totemp2014!$B$21</c:f>
              <c:numCache>
                <c:formatCode>0.00%</c:formatCode>
                <c:ptCount val="1"/>
                <c:pt idx="0">
                  <c:v>5.4945054945055019E-3</c:v>
                </c:pt>
              </c:numCache>
            </c:numRef>
          </c:xVal>
          <c:yVal>
            <c:numRef>
              <c:f>totemp2014!$G$21</c:f>
              <c:numCache>
                <c:formatCode>0.00%</c:formatCode>
                <c:ptCount val="1"/>
                <c:pt idx="0">
                  <c:v>6.6666666666666693E-2</c:v>
                </c:pt>
              </c:numCache>
            </c:numRef>
          </c:yVal>
          <c:smooth val="0"/>
          <c:extLst>
            <c:ext xmlns:c16="http://schemas.microsoft.com/office/drawing/2014/chart" uri="{C3380CC4-5D6E-409C-BE32-E72D297353CC}">
              <c16:uniqueId val="{00000019-D4CD-4338-8921-19BE57B94C4A}"/>
            </c:ext>
          </c:extLst>
        </c:ser>
        <c:ser>
          <c:idx val="19"/>
          <c:order val="19"/>
          <c:tx>
            <c:strRef>
              <c:f>totemp2014!$A$22</c:f>
              <c:strCache>
                <c:ptCount val="1"/>
                <c:pt idx="0">
                  <c:v>Tajikistan</c:v>
                </c:pt>
              </c:strCache>
            </c:strRef>
          </c:tx>
          <c:spPr>
            <a:ln w="28575" cap="rnd" cmpd="sng" algn="ctr">
              <a:noFill/>
              <a:prstDash val="solid"/>
              <a:round/>
            </a:ln>
            <a:effectLst/>
          </c:spPr>
          <c:marker>
            <c:spPr>
              <a:solidFill>
                <a:schemeClr val="accent2">
                  <a:lumMod val="80000"/>
                </a:schemeClr>
              </a:solidFill>
              <a:ln w="9525" cap="flat" cmpd="sng" algn="ctr">
                <a:solidFill>
                  <a:schemeClr val="accent2">
                    <a:lumMod val="8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b"/>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totemp2014!$B$22</c:f>
              <c:numCache>
                <c:formatCode>0.00%</c:formatCode>
                <c:ptCount val="1"/>
                <c:pt idx="0">
                  <c:v>2.8000000000000001E-2</c:v>
                </c:pt>
              </c:numCache>
            </c:numRef>
          </c:xVal>
          <c:yVal>
            <c:numRef>
              <c:f>totemp2014!$G$22</c:f>
              <c:numCache>
                <c:formatCode>0.00%</c:formatCode>
                <c:ptCount val="1"/>
                <c:pt idx="0">
                  <c:v>2.8571428571428602E-2</c:v>
                </c:pt>
              </c:numCache>
            </c:numRef>
          </c:yVal>
          <c:smooth val="0"/>
          <c:extLst>
            <c:ext xmlns:c16="http://schemas.microsoft.com/office/drawing/2014/chart" uri="{C3380CC4-5D6E-409C-BE32-E72D297353CC}">
              <c16:uniqueId val="{0000001A-D4CD-4338-8921-19BE57B94C4A}"/>
            </c:ext>
          </c:extLst>
        </c:ser>
        <c:ser>
          <c:idx val="20"/>
          <c:order val="20"/>
          <c:tx>
            <c:strRef>
              <c:f>totemp2014!$A$23</c:f>
              <c:strCache>
                <c:ptCount val="1"/>
                <c:pt idx="0">
                  <c:v>Tanzania</c:v>
                </c:pt>
              </c:strCache>
            </c:strRef>
          </c:tx>
          <c:spPr>
            <a:ln w="28575" cap="rnd" cmpd="sng" algn="ctr">
              <a:noFill/>
              <a:prstDash val="solid"/>
              <a:round/>
            </a:ln>
            <a:effectLst/>
          </c:spPr>
          <c:marker>
            <c:spPr>
              <a:solidFill>
                <a:schemeClr val="accent3">
                  <a:lumMod val="80000"/>
                </a:schemeClr>
              </a:solidFill>
              <a:ln w="9525" cap="flat" cmpd="sng" algn="ctr">
                <a:solidFill>
                  <a:schemeClr val="accent3">
                    <a:lumMod val="8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totemp2014!$B$23</c:f>
              <c:numCache>
                <c:formatCode>0.00%</c:formatCode>
                <c:ptCount val="1"/>
                <c:pt idx="0">
                  <c:v>3.7572254335260097E-2</c:v>
                </c:pt>
              </c:numCache>
            </c:numRef>
          </c:xVal>
          <c:yVal>
            <c:numRef>
              <c:f>totemp2014!$G$23</c:f>
              <c:numCache>
                <c:formatCode>0.00%</c:formatCode>
                <c:ptCount val="1"/>
                <c:pt idx="0">
                  <c:v>4.6153846153846198E-2</c:v>
                </c:pt>
              </c:numCache>
            </c:numRef>
          </c:yVal>
          <c:smooth val="0"/>
          <c:extLst>
            <c:ext xmlns:c16="http://schemas.microsoft.com/office/drawing/2014/chart" uri="{C3380CC4-5D6E-409C-BE32-E72D297353CC}">
              <c16:uniqueId val="{0000001B-D4CD-4338-8921-19BE57B94C4A}"/>
            </c:ext>
          </c:extLst>
        </c:ser>
        <c:ser>
          <c:idx val="21"/>
          <c:order val="21"/>
          <c:tx>
            <c:strRef>
              <c:f>totemp2014!$A$24</c:f>
              <c:strCache>
                <c:ptCount val="1"/>
                <c:pt idx="0">
                  <c:v>Uganda</c:v>
                </c:pt>
              </c:strCache>
            </c:strRef>
          </c:tx>
          <c:spPr>
            <a:ln w="28575" cap="rnd" cmpd="sng" algn="ctr">
              <a:noFill/>
              <a:prstDash val="solid"/>
              <a:round/>
            </a:ln>
            <a:effectLst/>
          </c:spPr>
          <c:marker>
            <c:spPr>
              <a:noFill/>
              <a:ln w="9525" cap="flat" cmpd="sng" algn="ctr">
                <a:solidFill>
                  <a:schemeClr val="accent4">
                    <a:lumMod val="8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totemp2014!$B$24</c:f>
              <c:numCache>
                <c:formatCode>0.00%</c:formatCode>
                <c:ptCount val="1"/>
                <c:pt idx="0">
                  <c:v>2.8469750889679808E-2</c:v>
                </c:pt>
              </c:numCache>
            </c:numRef>
          </c:xVal>
          <c:yVal>
            <c:numRef>
              <c:f>totemp2014!$G$24</c:f>
              <c:numCache>
                <c:formatCode>0.00%</c:formatCode>
                <c:ptCount val="1"/>
                <c:pt idx="0">
                  <c:v>7.5000000000000011E-2</c:v>
                </c:pt>
              </c:numCache>
            </c:numRef>
          </c:yVal>
          <c:smooth val="0"/>
          <c:extLst>
            <c:ext xmlns:c16="http://schemas.microsoft.com/office/drawing/2014/chart" uri="{C3380CC4-5D6E-409C-BE32-E72D297353CC}">
              <c16:uniqueId val="{0000001C-D4CD-4338-8921-19BE57B94C4A}"/>
            </c:ext>
          </c:extLst>
        </c:ser>
        <c:ser>
          <c:idx val="22"/>
          <c:order val="22"/>
          <c:tx>
            <c:strRef>
              <c:f>totemp2014!$A$27</c:f>
              <c:strCache>
                <c:ptCount val="1"/>
                <c:pt idx="0">
                  <c:v>Yemen</c:v>
                </c:pt>
              </c:strCache>
            </c:strRef>
          </c:tx>
          <c:spPr>
            <a:ln w="28575" cap="rnd" cmpd="sng" algn="ctr">
              <a:noFill/>
              <a:prstDash val="solid"/>
              <a:round/>
            </a:ln>
            <a:effectLst/>
          </c:spPr>
          <c:marker>
            <c:spPr>
              <a:noFill/>
              <a:ln w="9525" cap="flat" cmpd="sng" algn="ctr">
                <a:solidFill>
                  <a:schemeClr val="accent5">
                    <a:lumMod val="8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totemp2014!$B$27</c:f>
              <c:numCache>
                <c:formatCode>0.00%</c:formatCode>
                <c:ptCount val="1"/>
                <c:pt idx="0">
                  <c:v>5.0251256281406984E-3</c:v>
                </c:pt>
              </c:numCache>
            </c:numRef>
          </c:xVal>
          <c:yVal>
            <c:numRef>
              <c:f>totemp2014!$G$27</c:f>
              <c:numCache>
                <c:formatCode>0.00%</c:formatCode>
                <c:ptCount val="1"/>
                <c:pt idx="0">
                  <c:v>0.13333333333333305</c:v>
                </c:pt>
              </c:numCache>
            </c:numRef>
          </c:yVal>
          <c:smooth val="0"/>
          <c:extLst>
            <c:ext xmlns:c16="http://schemas.microsoft.com/office/drawing/2014/chart" uri="{C3380CC4-5D6E-409C-BE32-E72D297353CC}">
              <c16:uniqueId val="{0000001D-D4CD-4338-8921-19BE57B94C4A}"/>
            </c:ext>
          </c:extLst>
        </c:ser>
        <c:ser>
          <c:idx val="23"/>
          <c:order val="23"/>
          <c:tx>
            <c:strRef>
              <c:f>totemp2014!$A$28</c:f>
              <c:strCache>
                <c:ptCount val="1"/>
                <c:pt idx="0">
                  <c:v>Zambia</c:v>
                </c:pt>
              </c:strCache>
            </c:strRef>
          </c:tx>
          <c:spPr>
            <a:ln w="28575" cap="rnd" cmpd="sng" algn="ctr">
              <a:noFill/>
              <a:prstDash val="solid"/>
              <a:round/>
            </a:ln>
            <a:effectLst/>
          </c:spPr>
          <c:marker>
            <c:spPr>
              <a:solidFill>
                <a:schemeClr val="accent6">
                  <a:lumMod val="80000"/>
                </a:schemeClr>
              </a:solidFill>
              <a:ln w="9525" cap="flat" cmpd="sng" algn="ctr">
                <a:solidFill>
                  <a:schemeClr val="accent6">
                    <a:lumMod val="80000"/>
                    <a:shade val="95000"/>
                    <a:satMod val="105000"/>
                  </a:schemeClr>
                </a:solidFill>
                <a:prstDash val="solid"/>
                <a:round/>
              </a:ln>
              <a:effectLst/>
            </c:spPr>
          </c:marker>
          <c:dLbls>
            <c:dLbl>
              <c:idx val="0"/>
              <c:layout>
                <c:manualLayout>
                  <c:x val="2.3350842174783407E-3"/>
                  <c:y val="-3.657522859517891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E-D4CD-4338-8921-19BE57B94C4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totemp2014!$B$28</c:f>
              <c:numCache>
                <c:formatCode>0.00%</c:formatCode>
                <c:ptCount val="1"/>
                <c:pt idx="0">
                  <c:v>5.1643192488262768E-2</c:v>
                </c:pt>
              </c:numCache>
            </c:numRef>
          </c:xVal>
          <c:yVal>
            <c:numRef>
              <c:f>totemp2014!$G$28</c:f>
              <c:numCache>
                <c:formatCode>0.00%</c:formatCode>
                <c:ptCount val="1"/>
                <c:pt idx="0">
                  <c:v>3.6363636363636397E-2</c:v>
                </c:pt>
              </c:numCache>
            </c:numRef>
          </c:yVal>
          <c:smooth val="0"/>
          <c:extLst>
            <c:ext xmlns:c16="http://schemas.microsoft.com/office/drawing/2014/chart" uri="{C3380CC4-5D6E-409C-BE32-E72D297353CC}">
              <c16:uniqueId val="{0000001F-D4CD-4338-8921-19BE57B94C4A}"/>
            </c:ext>
          </c:extLst>
        </c:ser>
        <c:ser>
          <c:idx val="24"/>
          <c:order val="24"/>
          <c:tx>
            <c:strRef>
              <c:f>totemp2014!$A$29</c:f>
              <c:strCache>
                <c:ptCount val="1"/>
                <c:pt idx="0">
                  <c:v>Zimbabwe</c:v>
                </c:pt>
              </c:strCache>
            </c:strRef>
          </c:tx>
          <c:spPr>
            <a:ln w="28575" cap="rnd" cmpd="sng" algn="ctr">
              <a:noFill/>
              <a:prstDash val="solid"/>
              <a:round/>
            </a:ln>
            <a:effectLst/>
          </c:spPr>
          <c:marker>
            <c:spPr>
              <a:noFill/>
              <a:ln w="9525" cap="flat" cmpd="sng" algn="ctr">
                <a:solidFill>
                  <a:schemeClr val="accent1">
                    <a:lumMod val="60000"/>
                    <a:lumOff val="4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totemp2014!$B$29</c:f>
              <c:numCache>
                <c:formatCode>0.00%</c:formatCode>
                <c:ptCount val="1"/>
                <c:pt idx="0">
                  <c:v>9.4890510948905105E-2</c:v>
                </c:pt>
              </c:numCache>
            </c:numRef>
          </c:xVal>
          <c:yVal>
            <c:numRef>
              <c:f>totemp2014!$G$29</c:f>
              <c:numCache>
                <c:formatCode>0.00%</c:formatCode>
                <c:ptCount val="1"/>
                <c:pt idx="0">
                  <c:v>3.0769230769230802E-2</c:v>
                </c:pt>
              </c:numCache>
            </c:numRef>
          </c:yVal>
          <c:smooth val="0"/>
          <c:extLst>
            <c:ext xmlns:c16="http://schemas.microsoft.com/office/drawing/2014/chart" uri="{C3380CC4-5D6E-409C-BE32-E72D297353CC}">
              <c16:uniqueId val="{00000020-D4CD-4338-8921-19BE57B94C4A}"/>
            </c:ext>
          </c:extLst>
        </c:ser>
        <c:dLbls>
          <c:showLegendKey val="0"/>
          <c:showVal val="1"/>
          <c:showCatName val="0"/>
          <c:showSerName val="0"/>
          <c:showPercent val="0"/>
          <c:showBubbleSize val="0"/>
        </c:dLbls>
        <c:axId val="551136416"/>
        <c:axId val="551136808"/>
      </c:scatterChart>
      <c:valAx>
        <c:axId val="551136416"/>
        <c:scaling>
          <c:orientation val="minMax"/>
        </c:scaling>
        <c:delete val="0"/>
        <c:axPos val="b"/>
        <c:majorGridlines>
          <c:spPr>
            <a:ln w="9525" cap="flat" cmpd="sng" algn="ctr">
              <a:noFill/>
              <a:prstDash val="solid"/>
              <a:round/>
            </a:ln>
            <a:effectLst/>
          </c:spPr>
        </c:majorGridlines>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s-ES" b="0"/>
                  <a:t>Female share of workers in the construction sector 2014 (%)</a:t>
                </a:r>
              </a:p>
            </c:rich>
          </c:tx>
          <c:layout>
            <c:manualLayout>
              <c:xMode val="edge"/>
              <c:yMode val="edge"/>
              <c:x val="0.29094997189432414"/>
              <c:y val="0.9342948717948742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low"/>
        <c:spPr>
          <a:noFill/>
          <a:ln w="12700" cap="rnd" cmpd="sng" algn="ctr">
            <a:solidFill>
              <a:sysClr val="windowText" lastClr="000000"/>
            </a:solidFill>
            <a:prstDash val="solid"/>
            <a:round/>
          </a:ln>
          <a:effectLst>
            <a:outerShdw blurRad="50800" dist="50800" dir="5400000" algn="ctr" rotWithShape="0">
              <a:srgbClr val="000000">
                <a:alpha val="0"/>
              </a:srgbClr>
            </a:outerShdw>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1136808"/>
        <c:crossesAt val="4.9500000000000016E-2"/>
        <c:crossBetween val="midCat"/>
      </c:valAx>
      <c:valAx>
        <c:axId val="551136808"/>
        <c:scaling>
          <c:orientation val="minMax"/>
        </c:scaling>
        <c:delete val="0"/>
        <c:axPos val="l"/>
        <c:majorGridlines>
          <c:spPr>
            <a:ln w="9525" cap="flat" cmpd="sng" algn="ctr">
              <a:noFill/>
              <a:prstDash val="solid"/>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s-ES" b="0"/>
                  <a:t>Expected CAGR of female employment 2014-2019 (%)</a:t>
                </a:r>
              </a:p>
            </c:rich>
          </c:tx>
          <c:layout>
            <c:manualLayout>
              <c:xMode val="edge"/>
              <c:yMode val="edge"/>
              <c:x val="1.1675421087391703E-2"/>
              <c:y val="9.71861684371748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in"/>
        <c:minorTickMark val="none"/>
        <c:tickLblPos val="low"/>
        <c:spPr>
          <a:noFill/>
          <a:ln w="12700" cap="rnd" cmpd="sng" algn="ctr">
            <a:solidFill>
              <a:sysClr val="windowText" lastClr="000000"/>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1136416"/>
        <c:crossesAt val="9.5300000000000024E-2"/>
        <c:crossBetween val="midCat"/>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59075350242992"/>
          <c:y val="4.3168573278653142E-3"/>
          <c:w val="0.69701860943312866"/>
          <c:h val="0.79946974035972673"/>
        </c:manualLayout>
      </c:layout>
      <c:barChart>
        <c:barDir val="bar"/>
        <c:grouping val="clustered"/>
        <c:varyColors val="0"/>
        <c:ser>
          <c:idx val="0"/>
          <c:order val="0"/>
          <c:tx>
            <c:strRef>
              <c:f>Informality!$B$6</c:f>
              <c:strCache>
                <c:ptCount val="1"/>
                <c:pt idx="0">
                  <c:v>Female informal employment share in female construction employment</c:v>
                </c:pt>
              </c:strCache>
            </c:strRef>
          </c:tx>
          <c:spPr>
            <a:solidFill>
              <a:schemeClr val="accent1"/>
            </a:solidFill>
            <a:ln>
              <a:noFill/>
            </a:ln>
            <a:effectLst/>
          </c:spPr>
          <c:invertIfNegative val="0"/>
          <c:dLbls>
            <c:dLbl>
              <c:idx val="8"/>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57C9-4270-8E46-8D87674975A1}"/>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Informality!$A$7:$A$16</c:f>
              <c:strCache>
                <c:ptCount val="10"/>
                <c:pt idx="0">
                  <c:v>South Africa</c:v>
                </c:pt>
                <c:pt idx="1">
                  <c:v>Uganda</c:v>
                </c:pt>
                <c:pt idx="2">
                  <c:v>Liberia</c:v>
                </c:pt>
                <c:pt idx="3">
                  <c:v>Zimbabwe</c:v>
                </c:pt>
                <c:pt idx="4">
                  <c:v>Zambia</c:v>
                </c:pt>
                <c:pt idx="5">
                  <c:v>Tanzania</c:v>
                </c:pt>
                <c:pt idx="6">
                  <c:v>Kyrgyzstan</c:v>
                </c:pt>
                <c:pt idx="7">
                  <c:v>Pakistan</c:v>
                </c:pt>
                <c:pt idx="8">
                  <c:v>Occupied Palestinian Territories</c:v>
                </c:pt>
                <c:pt idx="9">
                  <c:v>India</c:v>
                </c:pt>
              </c:strCache>
            </c:strRef>
          </c:cat>
          <c:val>
            <c:numRef>
              <c:f>Informality!$B$7:$B$16</c:f>
              <c:numCache>
                <c:formatCode>General</c:formatCode>
                <c:ptCount val="10"/>
                <c:pt idx="0">
                  <c:v>15.1</c:v>
                </c:pt>
                <c:pt idx="1">
                  <c:v>100</c:v>
                </c:pt>
                <c:pt idx="2">
                  <c:v>60</c:v>
                </c:pt>
                <c:pt idx="3">
                  <c:v>68.2</c:v>
                </c:pt>
                <c:pt idx="4">
                  <c:v>66.7</c:v>
                </c:pt>
                <c:pt idx="5">
                  <c:v>64.5</c:v>
                </c:pt>
                <c:pt idx="6">
                  <c:v>70.400000000000006</c:v>
                </c:pt>
                <c:pt idx="7">
                  <c:v>96.7</c:v>
                </c:pt>
                <c:pt idx="8">
                  <c:v>0</c:v>
                </c:pt>
                <c:pt idx="9">
                  <c:v>99.3</c:v>
                </c:pt>
              </c:numCache>
            </c:numRef>
          </c:val>
          <c:extLst>
            <c:ext xmlns:c16="http://schemas.microsoft.com/office/drawing/2014/chart" uri="{C3380CC4-5D6E-409C-BE32-E72D297353CC}">
              <c16:uniqueId val="{00000001-6E20-4C8D-9692-CD110CADB01A}"/>
            </c:ext>
          </c:extLst>
        </c:ser>
        <c:ser>
          <c:idx val="1"/>
          <c:order val="1"/>
          <c:tx>
            <c:strRef>
              <c:f>Informality!$C$6</c:f>
              <c:strCache>
                <c:ptCount val="1"/>
                <c:pt idx="0">
                  <c:v>Informal employment share in total construction employment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Informality!$A$7:$A$16</c:f>
              <c:strCache>
                <c:ptCount val="10"/>
                <c:pt idx="0">
                  <c:v>South Africa</c:v>
                </c:pt>
                <c:pt idx="1">
                  <c:v>Uganda</c:v>
                </c:pt>
                <c:pt idx="2">
                  <c:v>Liberia</c:v>
                </c:pt>
                <c:pt idx="3">
                  <c:v>Zimbabwe</c:v>
                </c:pt>
                <c:pt idx="4">
                  <c:v>Zambia</c:v>
                </c:pt>
                <c:pt idx="5">
                  <c:v>Tanzania</c:v>
                </c:pt>
                <c:pt idx="6">
                  <c:v>Kyrgyzstan</c:v>
                </c:pt>
                <c:pt idx="7">
                  <c:v>Pakistan</c:v>
                </c:pt>
                <c:pt idx="8">
                  <c:v>Occupied Palestinian Territories</c:v>
                </c:pt>
                <c:pt idx="9">
                  <c:v>India</c:v>
                </c:pt>
              </c:strCache>
            </c:strRef>
          </c:cat>
          <c:val>
            <c:numRef>
              <c:f>Informality!$C$7:$C$16</c:f>
              <c:numCache>
                <c:formatCode>General</c:formatCode>
                <c:ptCount val="10"/>
                <c:pt idx="0">
                  <c:v>47.8</c:v>
                </c:pt>
                <c:pt idx="1">
                  <c:v>48.2</c:v>
                </c:pt>
                <c:pt idx="2">
                  <c:v>61.5</c:v>
                </c:pt>
                <c:pt idx="3">
                  <c:v>67.099999999999994</c:v>
                </c:pt>
                <c:pt idx="4">
                  <c:v>82.5</c:v>
                </c:pt>
                <c:pt idx="5">
                  <c:v>83.2</c:v>
                </c:pt>
                <c:pt idx="6">
                  <c:v>83.7</c:v>
                </c:pt>
                <c:pt idx="7">
                  <c:v>96.7</c:v>
                </c:pt>
                <c:pt idx="8">
                  <c:v>96.9</c:v>
                </c:pt>
                <c:pt idx="9">
                  <c:v>97.6</c:v>
                </c:pt>
              </c:numCache>
            </c:numRef>
          </c:val>
          <c:extLst>
            <c:ext xmlns:c16="http://schemas.microsoft.com/office/drawing/2014/chart" uri="{C3380CC4-5D6E-409C-BE32-E72D297353CC}">
              <c16:uniqueId val="{00000002-6E20-4C8D-9692-CD110CADB01A}"/>
            </c:ext>
          </c:extLst>
        </c:ser>
        <c:dLbls>
          <c:showLegendKey val="0"/>
          <c:showVal val="1"/>
          <c:showCatName val="0"/>
          <c:showSerName val="0"/>
          <c:showPercent val="0"/>
          <c:showBubbleSize val="0"/>
        </c:dLbls>
        <c:gapWidth val="150"/>
        <c:axId val="452424560"/>
        <c:axId val="552235400"/>
      </c:barChart>
      <c:catAx>
        <c:axId val="452424560"/>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2235400"/>
        <c:crosses val="autoZero"/>
        <c:auto val="1"/>
        <c:lblAlgn val="ctr"/>
        <c:lblOffset val="100"/>
        <c:noMultiLvlLbl val="0"/>
      </c:catAx>
      <c:valAx>
        <c:axId val="552235400"/>
        <c:scaling>
          <c:orientation val="minMax"/>
          <c:max val="100"/>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52424560"/>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OSH!$B$2</c:f>
              <c:strCache>
                <c:ptCount val="1"/>
                <c:pt idx="0">
                  <c:v>Fatal occupational injuries per 100,000 workers</c:v>
                </c:pt>
              </c:strCache>
            </c:strRef>
          </c:tx>
          <c:spPr>
            <a:solidFill>
              <a:schemeClr val="accent1"/>
            </a:solidFill>
            <a:ln>
              <a:noFill/>
            </a:ln>
            <a:effectLst/>
          </c:spPr>
          <c:invertIfNegative val="0"/>
          <c:dLbls>
            <c:dLbl>
              <c:idx val="3"/>
              <c:tx>
                <c:rich>
                  <a:bodyPr/>
                  <a:lstStyle/>
                  <a:p>
                    <a:r>
                      <a:rPr lang="en-US"/>
                      <a:t>14.2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38-4796-8BA3-40858C4B9DD6}"/>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OSH!$A$3:$A$6</c:f>
              <c:strCache>
                <c:ptCount val="4"/>
                <c:pt idx="0">
                  <c:v>United Kingdom</c:v>
                </c:pt>
                <c:pt idx="1">
                  <c:v>Zimbabwe</c:v>
                </c:pt>
                <c:pt idx="2">
                  <c:v>Kyrgyzstan </c:v>
                </c:pt>
                <c:pt idx="3">
                  <c:v>Occupied Palestinian Territory</c:v>
                </c:pt>
              </c:strCache>
            </c:strRef>
          </c:cat>
          <c:val>
            <c:numRef>
              <c:f>OSH!$B$3:$B$6</c:f>
              <c:numCache>
                <c:formatCode>General</c:formatCode>
                <c:ptCount val="4"/>
                <c:pt idx="0">
                  <c:v>2</c:v>
                </c:pt>
                <c:pt idx="1">
                  <c:v>5.6</c:v>
                </c:pt>
                <c:pt idx="2">
                  <c:v>13.4</c:v>
                </c:pt>
                <c:pt idx="3">
                  <c:v>14.17</c:v>
                </c:pt>
              </c:numCache>
            </c:numRef>
          </c:val>
          <c:extLst>
            <c:ext xmlns:c16="http://schemas.microsoft.com/office/drawing/2014/chart" uri="{C3380CC4-5D6E-409C-BE32-E72D297353CC}">
              <c16:uniqueId val="{00000000-287D-4891-B75E-8F3F4ED47F7D}"/>
            </c:ext>
          </c:extLst>
        </c:ser>
        <c:dLbls>
          <c:showLegendKey val="0"/>
          <c:showVal val="1"/>
          <c:showCatName val="0"/>
          <c:showSerName val="0"/>
          <c:showPercent val="0"/>
          <c:showBubbleSize val="0"/>
        </c:dLbls>
        <c:gapWidth val="150"/>
        <c:axId val="551744968"/>
        <c:axId val="551745360"/>
      </c:barChart>
      <c:catAx>
        <c:axId val="551744968"/>
        <c:scaling>
          <c:orientation val="minMax"/>
        </c:scaling>
        <c:delete val="0"/>
        <c:axPos val="l"/>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1745360"/>
        <c:crossesAt val="0"/>
        <c:auto val="1"/>
        <c:lblAlgn val="ctr"/>
        <c:lblOffset val="100"/>
        <c:noMultiLvlLbl val="0"/>
      </c:catAx>
      <c:valAx>
        <c:axId val="551745360"/>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s-ES" sz="900" b="0"/>
                  <a:t>Fatal occupational injuries per 100,000 workers</a:t>
                </a:r>
              </a:p>
            </c:rich>
          </c:tx>
          <c:layout>
            <c:manualLayout>
              <c:xMode val="edge"/>
              <c:yMode val="edge"/>
              <c:x val="0.3732879839724183"/>
              <c:y val="0.915654991401936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174496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47331583552"/>
          <c:y val="5.1400554097404495E-2"/>
          <c:w val="0.84209011373578524"/>
          <c:h val="0.8175912942389062"/>
        </c:manualLayout>
      </c:layout>
      <c:scatterChart>
        <c:scatterStyle val="lineMarker"/>
        <c:varyColors val="0"/>
        <c:ser>
          <c:idx val="0"/>
          <c:order val="0"/>
          <c:tx>
            <c:strRef>
              <c:f>Hoja8!$A$2</c:f>
              <c:strCache>
                <c:ptCount val="1"/>
                <c:pt idx="0">
                  <c:v>Uganda</c:v>
                </c:pt>
              </c:strCache>
            </c:strRef>
          </c:tx>
          <c:spPr>
            <a:ln w="28575" cap="rnd" cmpd="sng" algn="ctr">
              <a:noFill/>
              <a:prstDash val="solid"/>
              <a:round/>
            </a:ln>
            <a:effectLst/>
          </c:spPr>
          <c:marker>
            <c:spPr>
              <a:solidFill>
                <a:schemeClr val="accent1"/>
              </a:solidFill>
              <a:ln w="9525" cap="flat" cmpd="sng" algn="ctr">
                <a:solidFill>
                  <a:schemeClr val="accent1">
                    <a:shade val="95000"/>
                    <a:satMod val="105000"/>
                  </a:schemeClr>
                </a:solidFill>
                <a:prstDash val="solid"/>
                <a:round/>
              </a:ln>
              <a:effectLst/>
            </c:spPr>
          </c:marker>
          <c:dLbls>
            <c:dLbl>
              <c:idx val="0"/>
              <c:layout>
                <c:manualLayout>
                  <c:x val="-7.2513998250219022E-2"/>
                  <c:y val="4.6296296296296516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E3DB-449F-9B89-0778A8BD438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Hoja8!$B$2</c:f>
              <c:numCache>
                <c:formatCode>0.00%</c:formatCode>
                <c:ptCount val="1"/>
                <c:pt idx="0">
                  <c:v>1.0999999999999998E-2</c:v>
                </c:pt>
              </c:numCache>
            </c:numRef>
          </c:xVal>
          <c:yVal>
            <c:numRef>
              <c:f>Hoja8!$C$2</c:f>
              <c:numCache>
                <c:formatCode>0.00%</c:formatCode>
                <c:ptCount val="1"/>
                <c:pt idx="0">
                  <c:v>2.8469750889679808E-2</c:v>
                </c:pt>
              </c:numCache>
            </c:numRef>
          </c:yVal>
          <c:smooth val="0"/>
          <c:extLst>
            <c:ext xmlns:c16="http://schemas.microsoft.com/office/drawing/2014/chart" uri="{C3380CC4-5D6E-409C-BE32-E72D297353CC}">
              <c16:uniqueId val="{00000001-E3DB-449F-9B89-0778A8BD438D}"/>
            </c:ext>
          </c:extLst>
        </c:ser>
        <c:ser>
          <c:idx val="1"/>
          <c:order val="1"/>
          <c:tx>
            <c:strRef>
              <c:f>Hoja8!$A$3</c:f>
              <c:strCache>
                <c:ptCount val="1"/>
                <c:pt idx="0">
                  <c:v>Malawi</c:v>
                </c:pt>
              </c:strCache>
            </c:strRef>
          </c:tx>
          <c:spPr>
            <a:ln w="28575" cap="rnd" cmpd="sng" algn="ctr">
              <a:noFill/>
              <a:prstDash val="solid"/>
              <a:round/>
            </a:ln>
            <a:effectLst/>
          </c:spPr>
          <c:marker>
            <c:spPr>
              <a:solidFill>
                <a:schemeClr val="accent2"/>
              </a:solidFill>
              <a:ln w="9525" cap="flat" cmpd="sng" algn="ctr">
                <a:solidFill>
                  <a:schemeClr val="accent2">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Hoja8!$B$3</c:f>
              <c:numCache>
                <c:formatCode>0.00%</c:formatCode>
                <c:ptCount val="1"/>
                <c:pt idx="0">
                  <c:v>5.5000000000000014E-2</c:v>
                </c:pt>
              </c:numCache>
            </c:numRef>
          </c:xVal>
          <c:yVal>
            <c:numRef>
              <c:f>Hoja8!$C$3</c:f>
              <c:numCache>
                <c:formatCode>0.00%</c:formatCode>
                <c:ptCount val="1"/>
                <c:pt idx="0">
                  <c:v>3.3333333333333298E-2</c:v>
                </c:pt>
              </c:numCache>
            </c:numRef>
          </c:yVal>
          <c:smooth val="0"/>
          <c:extLst>
            <c:ext xmlns:c16="http://schemas.microsoft.com/office/drawing/2014/chart" uri="{C3380CC4-5D6E-409C-BE32-E72D297353CC}">
              <c16:uniqueId val="{00000002-E3DB-449F-9B89-0778A8BD438D}"/>
            </c:ext>
          </c:extLst>
        </c:ser>
        <c:ser>
          <c:idx val="2"/>
          <c:order val="2"/>
          <c:tx>
            <c:strRef>
              <c:f>Hoja8!$A$4</c:f>
              <c:strCache>
                <c:ptCount val="1"/>
                <c:pt idx="0">
                  <c:v>Zambia</c:v>
                </c:pt>
              </c:strCache>
            </c:strRef>
          </c:tx>
          <c:spPr>
            <a:ln w="28575" cap="rnd" cmpd="sng" algn="ctr">
              <a:noFill/>
              <a:prstDash val="solid"/>
              <a:round/>
            </a:ln>
            <a:effectLst/>
          </c:spPr>
          <c:marker>
            <c:spPr>
              <a:solidFill>
                <a:schemeClr val="accent3"/>
              </a:solidFill>
              <a:ln w="9525" cap="flat" cmpd="sng" algn="ctr">
                <a:solidFill>
                  <a:schemeClr val="accent3">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Hoja8!$B$4</c:f>
              <c:numCache>
                <c:formatCode>0.00%</c:formatCode>
                <c:ptCount val="1"/>
                <c:pt idx="0">
                  <c:v>5.7000000000000016E-2</c:v>
                </c:pt>
              </c:numCache>
            </c:numRef>
          </c:xVal>
          <c:yVal>
            <c:numRef>
              <c:f>Hoja8!$C$4</c:f>
              <c:numCache>
                <c:formatCode>0.00%</c:formatCode>
                <c:ptCount val="1"/>
                <c:pt idx="0">
                  <c:v>5.1643192488262768E-2</c:v>
                </c:pt>
              </c:numCache>
            </c:numRef>
          </c:yVal>
          <c:smooth val="0"/>
          <c:extLst>
            <c:ext xmlns:c16="http://schemas.microsoft.com/office/drawing/2014/chart" uri="{C3380CC4-5D6E-409C-BE32-E72D297353CC}">
              <c16:uniqueId val="{00000003-E3DB-449F-9B89-0778A8BD438D}"/>
            </c:ext>
          </c:extLst>
        </c:ser>
        <c:ser>
          <c:idx val="3"/>
          <c:order val="3"/>
          <c:tx>
            <c:strRef>
              <c:f>Hoja8!$A$5</c:f>
              <c:strCache>
                <c:ptCount val="1"/>
                <c:pt idx="0">
                  <c:v>Zimbabwe</c:v>
                </c:pt>
              </c:strCache>
            </c:strRef>
          </c:tx>
          <c:spPr>
            <a:ln w="28575" cap="rnd" cmpd="sng" algn="ctr">
              <a:noFill/>
              <a:prstDash val="solid"/>
              <a:round/>
            </a:ln>
            <a:effectLst/>
          </c:spPr>
          <c:marker>
            <c:spPr>
              <a:noFill/>
              <a:ln w="9525" cap="flat" cmpd="sng" algn="ctr">
                <a:solidFill>
                  <a:schemeClr val="accent4">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Hoja8!$B$5</c:f>
              <c:numCache>
                <c:formatCode>0.00%</c:formatCode>
                <c:ptCount val="1"/>
                <c:pt idx="0">
                  <c:v>7.5000000000000011E-2</c:v>
                </c:pt>
              </c:numCache>
            </c:numRef>
          </c:xVal>
          <c:yVal>
            <c:numRef>
              <c:f>Hoja8!$C$5</c:f>
              <c:numCache>
                <c:formatCode>0.00%</c:formatCode>
                <c:ptCount val="1"/>
                <c:pt idx="0">
                  <c:v>9.4890510948905105E-2</c:v>
                </c:pt>
              </c:numCache>
            </c:numRef>
          </c:yVal>
          <c:smooth val="0"/>
          <c:extLst>
            <c:ext xmlns:c16="http://schemas.microsoft.com/office/drawing/2014/chart" uri="{C3380CC4-5D6E-409C-BE32-E72D297353CC}">
              <c16:uniqueId val="{00000004-E3DB-449F-9B89-0778A8BD438D}"/>
            </c:ext>
          </c:extLst>
        </c:ser>
        <c:ser>
          <c:idx val="4"/>
          <c:order val="4"/>
          <c:tx>
            <c:strRef>
              <c:f>Hoja8!$A$6</c:f>
              <c:strCache>
                <c:ptCount val="1"/>
                <c:pt idx="0">
                  <c:v>Palestine</c:v>
                </c:pt>
              </c:strCache>
            </c:strRef>
          </c:tx>
          <c:spPr>
            <a:ln w="28575" cap="rnd" cmpd="sng" algn="ctr">
              <a:noFill/>
              <a:prstDash val="solid"/>
              <a:round/>
            </a:ln>
            <a:effectLst/>
          </c:spPr>
          <c:marker>
            <c:spPr>
              <a:noFill/>
              <a:ln w="9525" cap="flat" cmpd="sng" algn="ctr">
                <a:solidFill>
                  <a:schemeClr val="accent5">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Hoja8!$B$6</c:f>
              <c:numCache>
                <c:formatCode>0.00%</c:formatCode>
                <c:ptCount val="1"/>
                <c:pt idx="0">
                  <c:v>8.3000000000000032E-2</c:v>
                </c:pt>
              </c:numCache>
            </c:numRef>
          </c:xVal>
          <c:yVal>
            <c:numRef>
              <c:f>Hoja8!$C$6</c:f>
              <c:numCache>
                <c:formatCode>0.00%</c:formatCode>
                <c:ptCount val="1"/>
                <c:pt idx="0">
                  <c:v>0</c:v>
                </c:pt>
              </c:numCache>
            </c:numRef>
          </c:yVal>
          <c:smooth val="0"/>
          <c:extLst>
            <c:ext xmlns:c16="http://schemas.microsoft.com/office/drawing/2014/chart" uri="{C3380CC4-5D6E-409C-BE32-E72D297353CC}">
              <c16:uniqueId val="{00000005-E3DB-449F-9B89-0778A8BD438D}"/>
            </c:ext>
          </c:extLst>
        </c:ser>
        <c:ser>
          <c:idx val="5"/>
          <c:order val="5"/>
          <c:tx>
            <c:strRef>
              <c:f>Hoja8!$A$7</c:f>
              <c:strCache>
                <c:ptCount val="1"/>
                <c:pt idx="0">
                  <c:v>India</c:v>
                </c:pt>
              </c:strCache>
            </c:strRef>
          </c:tx>
          <c:spPr>
            <a:ln w="28575" cap="rnd" cmpd="sng" algn="ctr">
              <a:noFill/>
              <a:prstDash val="solid"/>
              <a:round/>
            </a:ln>
            <a:effectLst/>
          </c:spPr>
          <c:marker>
            <c:spPr>
              <a:solidFill>
                <a:schemeClr val="accent6"/>
              </a:solidFill>
              <a:ln w="9525" cap="flat" cmpd="sng" algn="ctr">
                <a:solidFill>
                  <a:schemeClr val="accent6">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Hoja8!$B$7</c:f>
              <c:numCache>
                <c:formatCode>0.00%</c:formatCode>
                <c:ptCount val="1"/>
                <c:pt idx="0">
                  <c:v>0.128</c:v>
                </c:pt>
              </c:numCache>
            </c:numRef>
          </c:xVal>
          <c:yVal>
            <c:numRef>
              <c:f>Hoja8!$C$7</c:f>
              <c:numCache>
                <c:formatCode>0.00%</c:formatCode>
                <c:ptCount val="1"/>
                <c:pt idx="0">
                  <c:v>0.13126594700687005</c:v>
                </c:pt>
              </c:numCache>
            </c:numRef>
          </c:yVal>
          <c:smooth val="0"/>
          <c:extLst>
            <c:ext xmlns:c16="http://schemas.microsoft.com/office/drawing/2014/chart" uri="{C3380CC4-5D6E-409C-BE32-E72D297353CC}">
              <c16:uniqueId val="{00000006-E3DB-449F-9B89-0778A8BD438D}"/>
            </c:ext>
          </c:extLst>
        </c:ser>
        <c:ser>
          <c:idx val="6"/>
          <c:order val="6"/>
          <c:tx>
            <c:strRef>
              <c:f>Hoja8!$A$8</c:f>
              <c:strCache>
                <c:ptCount val="1"/>
                <c:pt idx="0">
                  <c:v>Ethiopia</c:v>
                </c:pt>
              </c:strCache>
            </c:strRef>
          </c:tx>
          <c:spPr>
            <a:ln w="28575" cap="rnd" cmpd="sng" algn="ctr">
              <a:noFill/>
              <a:prstDash val="solid"/>
              <a:round/>
            </a:ln>
            <a:effectLst/>
          </c:spPr>
          <c:marker>
            <c:spPr>
              <a:noFill/>
              <a:ln w="9525" cap="flat" cmpd="sng" algn="ctr">
                <a:solidFill>
                  <a:schemeClr val="accent1">
                    <a:lumMod val="6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Hoja8!$B$8</c:f>
              <c:numCache>
                <c:formatCode>0.00%</c:formatCode>
                <c:ptCount val="1"/>
                <c:pt idx="0">
                  <c:v>0.14400000000000004</c:v>
                </c:pt>
              </c:numCache>
            </c:numRef>
          </c:xVal>
          <c:yVal>
            <c:numRef>
              <c:f>Hoja8!$C$8</c:f>
              <c:numCache>
                <c:formatCode>0.00%</c:formatCode>
                <c:ptCount val="1"/>
                <c:pt idx="0">
                  <c:v>0.20885357548240599</c:v>
                </c:pt>
              </c:numCache>
            </c:numRef>
          </c:yVal>
          <c:smooth val="0"/>
          <c:extLst>
            <c:ext xmlns:c16="http://schemas.microsoft.com/office/drawing/2014/chart" uri="{C3380CC4-5D6E-409C-BE32-E72D297353CC}">
              <c16:uniqueId val="{00000007-E3DB-449F-9B89-0778A8BD438D}"/>
            </c:ext>
          </c:extLst>
        </c:ser>
        <c:ser>
          <c:idx val="7"/>
          <c:order val="7"/>
          <c:tx>
            <c:strRef>
              <c:f>Hoja8!$A$9</c:f>
              <c:strCache>
                <c:ptCount val="1"/>
                <c:pt idx="0">
                  <c:v>Tanzania</c:v>
                </c:pt>
              </c:strCache>
            </c:strRef>
          </c:tx>
          <c:spPr>
            <a:ln w="28575" cap="rnd" cmpd="sng" algn="ctr">
              <a:noFill/>
              <a:prstDash val="solid"/>
              <a:round/>
            </a:ln>
            <a:effectLst/>
          </c:spPr>
          <c:marker>
            <c:spPr>
              <a:solidFill>
                <a:schemeClr val="accent2">
                  <a:lumMod val="60000"/>
                </a:schemeClr>
              </a:solidFill>
              <a:ln w="9525" cap="flat" cmpd="sng" algn="ctr">
                <a:solidFill>
                  <a:schemeClr val="accent2">
                    <a:lumMod val="60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Hoja8!$B$9</c:f>
              <c:numCache>
                <c:formatCode>0.00%</c:formatCode>
                <c:ptCount val="1"/>
                <c:pt idx="0">
                  <c:v>0.20200000000000001</c:v>
                </c:pt>
              </c:numCache>
            </c:numRef>
          </c:xVal>
          <c:yVal>
            <c:numRef>
              <c:f>Hoja8!$C$9</c:f>
              <c:numCache>
                <c:formatCode>0.00%</c:formatCode>
                <c:ptCount val="1"/>
                <c:pt idx="0">
                  <c:v>3.7572254335260097E-2</c:v>
                </c:pt>
              </c:numCache>
            </c:numRef>
          </c:yVal>
          <c:smooth val="0"/>
          <c:extLst>
            <c:ext xmlns:c16="http://schemas.microsoft.com/office/drawing/2014/chart" uri="{C3380CC4-5D6E-409C-BE32-E72D297353CC}">
              <c16:uniqueId val="{00000008-E3DB-449F-9B89-0778A8BD438D}"/>
            </c:ext>
          </c:extLst>
        </c:ser>
        <c:ser>
          <c:idx val="8"/>
          <c:order val="8"/>
          <c:tx>
            <c:strRef>
              <c:f>Hoja8!$A$10</c:f>
              <c:strCache>
                <c:ptCount val="1"/>
                <c:pt idx="0">
                  <c:v>South Africa</c:v>
                </c:pt>
              </c:strCache>
            </c:strRef>
          </c:tx>
          <c:spPr>
            <a:ln w="28575" cap="rnd" cmpd="sng" algn="ctr">
              <a:noFill/>
              <a:prstDash val="solid"/>
              <a:round/>
            </a:ln>
            <a:effectLst/>
          </c:spPr>
          <c:marker>
            <c:spPr>
              <a:solidFill>
                <a:schemeClr val="accent3">
                  <a:lumMod val="60000"/>
                </a:schemeClr>
              </a:solidFill>
              <a:ln w="9525" cap="flat" cmpd="sng" algn="ctr">
                <a:solidFill>
                  <a:schemeClr val="accent3">
                    <a:lumMod val="60000"/>
                    <a:shade val="95000"/>
                    <a:satMod val="105000"/>
                  </a:schemeClr>
                </a:solidFill>
                <a:prstDash val="solid"/>
                <a:round/>
              </a:ln>
              <a:effectLst/>
            </c:spPr>
          </c:marker>
          <c:dLbls>
            <c:dLbl>
              <c:idx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E3DB-449F-9B89-0778A8BD438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Hoja8!$B$10</c:f>
              <c:numCache>
                <c:formatCode>0.00%</c:formatCode>
                <c:ptCount val="1"/>
                <c:pt idx="0">
                  <c:v>0.29600000000000015</c:v>
                </c:pt>
              </c:numCache>
            </c:numRef>
          </c:xVal>
          <c:yVal>
            <c:numRef>
              <c:f>Hoja8!$C$10</c:f>
              <c:numCache>
                <c:formatCode>0.00%</c:formatCode>
                <c:ptCount val="1"/>
                <c:pt idx="0">
                  <c:v>0.11522198731501103</c:v>
                </c:pt>
              </c:numCache>
            </c:numRef>
          </c:yVal>
          <c:smooth val="0"/>
          <c:extLst>
            <c:ext xmlns:c16="http://schemas.microsoft.com/office/drawing/2014/chart" uri="{C3380CC4-5D6E-409C-BE32-E72D297353CC}">
              <c16:uniqueId val="{0000000A-E3DB-449F-9B89-0778A8BD438D}"/>
            </c:ext>
          </c:extLst>
        </c:ser>
        <c:ser>
          <c:idx val="9"/>
          <c:order val="9"/>
          <c:tx>
            <c:strRef>
              <c:f>Hoja8!$A$11</c:f>
              <c:strCache>
                <c:ptCount val="1"/>
                <c:pt idx="0">
                  <c:v>Sierra Leone</c:v>
                </c:pt>
              </c:strCache>
            </c:strRef>
          </c:tx>
          <c:spPr>
            <a:ln w="28575" cap="rnd" cmpd="sng" algn="ctr">
              <a:noFill/>
              <a:prstDash val="solid"/>
              <a:round/>
            </a:ln>
            <a:effectLst/>
          </c:spPr>
          <c:marker>
            <c:spPr>
              <a:solidFill>
                <a:schemeClr val="accent4">
                  <a:lumMod val="60000"/>
                </a:schemeClr>
              </a:solidFill>
              <a:ln w="9525" cap="flat" cmpd="sng" algn="ctr">
                <a:solidFill>
                  <a:schemeClr val="accent4">
                    <a:lumMod val="60000"/>
                    <a:shade val="95000"/>
                    <a:satMod val="105000"/>
                  </a:schemeClr>
                </a:solidFill>
                <a:prstDash val="solid"/>
                <a:round/>
              </a:ln>
              <a:effectLst/>
            </c:spPr>
          </c:marker>
          <c:dLbls>
            <c:dLbl>
              <c:idx val="0"/>
              <c:layout>
                <c:manualLayout>
                  <c:x val="-0.11111111111111099"/>
                  <c:y val="6.0185185185185085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B-E3DB-449F-9B89-0778A8BD438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Hoja8!$B$11</c:f>
              <c:numCache>
                <c:formatCode>0.00%</c:formatCode>
                <c:ptCount val="1"/>
                <c:pt idx="0">
                  <c:v>0.46800000000000008</c:v>
                </c:pt>
              </c:numCache>
            </c:numRef>
          </c:xVal>
          <c:yVal>
            <c:numRef>
              <c:f>Hoja8!$C$11</c:f>
              <c:numCache>
                <c:formatCode>0.00%</c:formatCode>
                <c:ptCount val="1"/>
                <c:pt idx="0">
                  <c:v>0.21666666666666701</c:v>
                </c:pt>
              </c:numCache>
            </c:numRef>
          </c:yVal>
          <c:smooth val="0"/>
          <c:extLst>
            <c:ext xmlns:c16="http://schemas.microsoft.com/office/drawing/2014/chart" uri="{C3380CC4-5D6E-409C-BE32-E72D297353CC}">
              <c16:uniqueId val="{0000000C-E3DB-449F-9B89-0778A8BD438D}"/>
            </c:ext>
          </c:extLst>
        </c:ser>
        <c:dLbls>
          <c:showLegendKey val="0"/>
          <c:showVal val="0"/>
          <c:showCatName val="0"/>
          <c:showSerName val="0"/>
          <c:showPercent val="0"/>
          <c:showBubbleSize val="0"/>
        </c:dLbls>
        <c:axId val="458121528"/>
        <c:axId val="556054168"/>
      </c:scatterChart>
      <c:valAx>
        <c:axId val="458121528"/>
        <c:scaling>
          <c:orientation val="minMax"/>
        </c:scaling>
        <c:delete val="0"/>
        <c:axPos val="b"/>
        <c:majorGridlines>
          <c:spPr>
            <a:ln w="9525" cap="flat" cmpd="sng" algn="ctr">
              <a:noFill/>
              <a:prstDash val="solid"/>
              <a:round/>
            </a:ln>
            <a:effectLst/>
          </c:spPr>
        </c:majorGridlines>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s-ES" b="0"/>
                  <a:t>Trade union density (per cent)</a:t>
                </a:r>
              </a:p>
            </c:rich>
          </c:tx>
          <c:layout>
            <c:manualLayout>
              <c:xMode val="edge"/>
              <c:yMode val="edge"/>
              <c:x val="0.3999837216639493"/>
              <c:y val="0.9308701566413802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low"/>
        <c:spPr>
          <a:noFill/>
          <a:ln w="12700"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6054168"/>
        <c:crossesAt val="9.1800000000000007E-2"/>
        <c:crossBetween val="midCat"/>
      </c:valAx>
      <c:valAx>
        <c:axId val="556054168"/>
        <c:scaling>
          <c:orientation val="minMax"/>
        </c:scaling>
        <c:delete val="0"/>
        <c:axPos val="l"/>
        <c:majorGridlines>
          <c:spPr>
            <a:ln w="9525" cap="flat" cmpd="sng" algn="ctr">
              <a:noFill/>
              <a:prstDash val="solid"/>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s-ES" b="0"/>
                  <a:t>Female employment share (per cent)</a:t>
                </a:r>
              </a:p>
            </c:rich>
          </c:tx>
          <c:layout>
            <c:manualLayout>
              <c:xMode val="edge"/>
              <c:yMode val="edge"/>
              <c:x val="2.2605909875076418E-2"/>
              <c:y val="0.16175050036553595"/>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low"/>
        <c:spPr>
          <a:noFill/>
          <a:ln w="12700" cap="flat" cmpd="sng" algn="ctr">
            <a:solidFill>
              <a:sysClr val="windowText" lastClr="000000">
                <a:tint val="75000"/>
                <a:shade val="95000"/>
                <a:satMod val="105000"/>
              </a:sys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58121528"/>
        <c:crossesAt val="0.23700000000000004"/>
        <c:crossBetween val="midCat"/>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ILR_CBCT_NOC_RT!$A$13:$A$76</c:f>
              <c:strCache>
                <c:ptCount val="1"/>
                <c:pt idx="0">
                  <c:v>Ethiopia Belgium Belize Bosnia and Herzegovina Brazil Bulgaria Canada Chile Costa Rica Croatia Cuba Cyprus Czech Republic Denmark Egypt El Salvador Estonia Bangladesh Finland France French Polynesia Germany Greece Honduras Hungary Iceland Indonesia Irelan</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3ED6-44DF-85FB-B93550FEB9D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ILR_CBCT_NOC_RT!$A$13:$A$76</c:f>
              <c:strCache>
                <c:ptCount val="5"/>
                <c:pt idx="0">
                  <c:v>Ethiopia</c:v>
                </c:pt>
                <c:pt idx="1">
                  <c:v>Bangladesh</c:v>
                </c:pt>
                <c:pt idx="2">
                  <c:v>Malawi</c:v>
                </c:pt>
                <c:pt idx="3">
                  <c:v>South Africa</c:v>
                </c:pt>
                <c:pt idx="4">
                  <c:v>Sierra Leone</c:v>
                </c:pt>
              </c:strCache>
            </c:strRef>
          </c:cat>
          <c:val>
            <c:numRef>
              <c:f>ILR_CBCT_NOC_RT!$B$13:$B$76</c:f>
              <c:numCache>
                <c:formatCode>General</c:formatCode>
                <c:ptCount val="5"/>
                <c:pt idx="0">
                  <c:v>0.8</c:v>
                </c:pt>
                <c:pt idx="1">
                  <c:v>5</c:v>
                </c:pt>
                <c:pt idx="2">
                  <c:v>18.100000000000001</c:v>
                </c:pt>
                <c:pt idx="3">
                  <c:v>32.6</c:v>
                </c:pt>
                <c:pt idx="4">
                  <c:v>46.8</c:v>
                </c:pt>
              </c:numCache>
            </c:numRef>
          </c:val>
          <c:extLst>
            <c:ext xmlns:c16="http://schemas.microsoft.com/office/drawing/2014/chart" uri="{C3380CC4-5D6E-409C-BE32-E72D297353CC}">
              <c16:uniqueId val="{00000000-C4B6-4006-BABA-A342F1B385E1}"/>
            </c:ext>
          </c:extLst>
        </c:ser>
        <c:dLbls>
          <c:showLegendKey val="0"/>
          <c:showVal val="1"/>
          <c:showCatName val="0"/>
          <c:showSerName val="0"/>
          <c:showPercent val="0"/>
          <c:showBubbleSize val="0"/>
        </c:dLbls>
        <c:gapWidth val="150"/>
        <c:axId val="556054952"/>
        <c:axId val="556055344"/>
      </c:barChart>
      <c:catAx>
        <c:axId val="556054952"/>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6055344"/>
        <c:crosses val="autoZero"/>
        <c:auto val="1"/>
        <c:lblAlgn val="ctr"/>
        <c:lblOffset val="100"/>
        <c:noMultiLvlLbl val="0"/>
      </c:catAx>
      <c:valAx>
        <c:axId val="556055344"/>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s-ES" b="0"/>
                  <a:t>Collective bargaining coverage rate (per cent)</a:t>
                </a:r>
              </a:p>
            </c:rich>
          </c:tx>
          <c:layout>
            <c:manualLayout>
              <c:xMode val="edge"/>
              <c:yMode val="edge"/>
              <c:x val="0.32400254108363913"/>
              <c:y val="0.9011803732866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5605495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ICED">
  <a:themeElements>
    <a:clrScheme name="ICED">
      <a:dk1>
        <a:sysClr val="windowText" lastClr="000000"/>
      </a:dk1>
      <a:lt1>
        <a:sysClr val="window" lastClr="FFFFFF"/>
      </a:lt1>
      <a:dk2>
        <a:srgbClr val="2A3880"/>
      </a:dk2>
      <a:lt2>
        <a:srgbClr val="E7E6E6"/>
      </a:lt2>
      <a:accent1>
        <a:srgbClr val="2A3880"/>
      </a:accent1>
      <a:accent2>
        <a:srgbClr val="00934B"/>
      </a:accent2>
      <a:accent3>
        <a:srgbClr val="A89A8C"/>
      </a:accent3>
      <a:accent4>
        <a:srgbClr val="1D2757"/>
      </a:accent4>
      <a:accent5>
        <a:srgbClr val="006432"/>
      </a:accent5>
      <a:accent6>
        <a:srgbClr val="BBB0A5"/>
      </a:accent6>
      <a:hlink>
        <a:srgbClr val="0563C1"/>
      </a:hlink>
      <a:folHlink>
        <a:srgbClr val="954F72"/>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olidFill>
            <a:schemeClr val="tx2"/>
          </a:solidFill>
        </a:ln>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lIns="0" tIns="0" rIns="0" bIns="0" rtlCol="0">
        <a:noAutofit/>
      </a:bodyPr>
      <a:lstStyle>
        <a:defPPr>
          <a:spcAft>
            <a:spcPts val="900"/>
          </a:spcAft>
          <a:defRPr sz="2000" dirty="0" smtClean="0">
            <a:latin typeface="Georgia" pitchFamily="18" charset="0"/>
          </a:defRPr>
        </a:defPPr>
      </a:lstStyle>
    </a:txDef>
  </a:objectDefaults>
  <a:extraClrSchemeLst/>
  <a:extLst>
    <a:ext uri="{05A4C25C-085E-4340-85A3-A5531E510DB2}">
      <thm15:themeFamily xmlns:thm15="http://schemas.microsoft.com/office/thememl/2012/main" name="ICED" id="{C4E3DE75-856C-467A-A071-8D6D48C52C78}" vid="{ED5AA95B-B155-48A8-A59C-28A42C97F0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8C352ADA28048B5350DE543550312" ma:contentTypeVersion="1" ma:contentTypeDescription="Create a new document." ma:contentTypeScope="" ma:versionID="1df869d68841bf17db9cba713e2a2250">
  <xsd:schema xmlns:xsd="http://www.w3.org/2001/XMLSchema" xmlns:xs="http://www.w3.org/2001/XMLSchema" xmlns:p="http://schemas.microsoft.com/office/2006/metadata/properties" xmlns:ns2="90285c5a-7cc7-4ac1-a8b9-bb858456d617" targetNamespace="http://schemas.microsoft.com/office/2006/metadata/properties" ma:root="true" ma:fieldsID="dc2537a804fc1ea23bdc7e1b019100f7" ns2:_="">
    <xsd:import namespace="90285c5a-7cc7-4ac1-a8b9-bb858456d6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85c5a-7cc7-4ac1-a8b9-bb858456d6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0423-B637-4634-B3C3-4DB147B96D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513390-128C-4A48-88E9-0BF9B60BAB93}">
  <ds:schemaRefs>
    <ds:schemaRef ds:uri="http://schemas.microsoft.com/sharepoint/v3/contenttype/forms"/>
  </ds:schemaRefs>
</ds:datastoreItem>
</file>

<file path=customXml/itemProps3.xml><?xml version="1.0" encoding="utf-8"?>
<ds:datastoreItem xmlns:ds="http://schemas.openxmlformats.org/officeDocument/2006/customXml" ds:itemID="{723ABAEF-B5CB-41FE-9517-D9622152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85c5a-7cc7-4ac1-a8b9-bb858456d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A9B70-69FC-4104-B6DF-D203B021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50</Pages>
  <Words>24951</Words>
  <Characters>142226</Characters>
  <Application>Microsoft Office Word</Application>
  <DocSecurity>0</DocSecurity>
  <Lines>1185</Lines>
  <Paragraphs>333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21380_ICED Word_template_IR5.07.16.indd</vt:lpstr>
      <vt:lpstr>21380_ICED Word_template_IR5.07.16.indd</vt:lpstr>
    </vt:vector>
  </TitlesOfParts>
  <Company/>
  <LinksUpToDate>false</LinksUpToDate>
  <CharactersWithSpaces>166844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21380_ICED Word_template_IR5.07.16.indd</dc:title>
  <dc:creator>Ella Farebrother</dc:creator>
  <cp:lastModifiedBy>Nina Nasman</cp:lastModifiedBy>
  <cp:revision>6</cp:revision>
  <cp:lastPrinted>2017-11-10T19:52:00Z</cp:lastPrinted>
  <dcterms:created xsi:type="dcterms:W3CDTF">2018-01-05T10:03:00Z</dcterms:created>
  <dcterms:modified xsi:type="dcterms:W3CDTF">2018-01-05T16:32:00Z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0x0101001958C352ADA28048B5350DE543550312</vt:lpwstr>
  </property>
</Properties>
</file>